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Fri</w:t>
      </w:r>
      <w:r>
        <w:rPr>
          <w:rFonts w:ascii="Times New Roman" w:hAnsi="Times New Roman" w:cs="Times New Roman"/>
          <w:sz w:val="40"/>
          <w:szCs w:val="40"/>
          <w:lang w:val="en-GB"/>
        </w:rPr>
        <w:t>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April 11,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7708DD4D">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_Toc1347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_Toc1347 \h </w:instrText>
          </w:r>
          <w:r>
            <w:fldChar w:fldCharType="separate"/>
          </w:r>
          <w:r>
            <w:t>3</w:t>
          </w:r>
          <w:r>
            <w:fldChar w:fldCharType="end"/>
          </w:r>
          <w:r>
            <w:rPr>
              <w:rFonts w:eastAsia="Calibri" w:cs="Times New Roman"/>
              <w:szCs w:val="24"/>
            </w:rPr>
            <w:fldChar w:fldCharType="end"/>
          </w:r>
        </w:p>
        <w:p w14:paraId="53FB5A1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_Toc18897 </w:instrText>
          </w:r>
          <w:r>
            <w:rPr>
              <w:rFonts w:eastAsia="Calibri" w:cs="Times New Roman"/>
              <w:szCs w:val="24"/>
            </w:rPr>
            <w:fldChar w:fldCharType="separate"/>
          </w:r>
          <w:r>
            <w:rPr>
              <w:rFonts w:hint="default" w:ascii="Wingdings" w:hAnsi="Wingdings"/>
              <w:szCs w:val="16"/>
              <w:lang w:val="en-GB"/>
            </w:rPr>
            <w:t xml:space="preserve"> </w:t>
          </w:r>
          <w:r>
            <w:rPr>
              <w:rFonts w:hint="default"/>
            </w:rPr>
            <w:t>PM Abiy appoints Mr. Getachew Reda as his Advisor for East African Affairs</w:t>
          </w:r>
          <w:r>
            <w:rPr>
              <w:rFonts w:hint="default"/>
              <w:lang w:val="en-GB"/>
            </w:rPr>
            <w:t xml:space="preserve"> </w:t>
          </w:r>
          <w:r>
            <w:tab/>
          </w:r>
          <w:r>
            <w:fldChar w:fldCharType="begin"/>
          </w:r>
          <w:r>
            <w:instrText xml:space="preserve"> PAGEREF _Toc18897 \h </w:instrText>
          </w:r>
          <w:r>
            <w:fldChar w:fldCharType="separate"/>
          </w:r>
          <w:r>
            <w:t>3</w:t>
          </w:r>
          <w:r>
            <w:fldChar w:fldCharType="end"/>
          </w:r>
          <w:r>
            <w:rPr>
              <w:rFonts w:eastAsia="Calibri" w:cs="Times New Roman"/>
              <w:szCs w:val="24"/>
            </w:rPr>
            <w:fldChar w:fldCharType="end"/>
          </w:r>
        </w:p>
        <w:p w14:paraId="0A66A9B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_Toc21318 </w:instrText>
          </w:r>
          <w:r>
            <w:rPr>
              <w:rFonts w:eastAsia="Calibri" w:cs="Times New Roman"/>
              <w:szCs w:val="24"/>
            </w:rPr>
            <w:fldChar w:fldCharType="separate"/>
          </w:r>
          <w:r>
            <w:rPr>
              <w:rFonts w:hint="default" w:ascii="Wingdings" w:hAnsi="Wingdings"/>
              <w:szCs w:val="16"/>
              <w:lang w:val="en-GB"/>
            </w:rPr>
            <w:t xml:space="preserve"> </w:t>
          </w:r>
          <w:r>
            <w:rPr>
              <w:rFonts w:hint="default"/>
            </w:rPr>
            <w:t>New Tigray Interim President holds first cabinet meeting; pledges to hold public conference for “urgent solutions,” vows to “fully implement Pretoria agreement”</w:t>
          </w:r>
          <w:r>
            <w:rPr>
              <w:rFonts w:hint="default"/>
              <w:lang w:val="en-GB"/>
            </w:rPr>
            <w:t xml:space="preserve"> </w:t>
          </w:r>
          <w:r>
            <w:tab/>
          </w:r>
          <w:r>
            <w:fldChar w:fldCharType="begin"/>
          </w:r>
          <w:r>
            <w:instrText xml:space="preserve"> PAGEREF _Toc21318 \h </w:instrText>
          </w:r>
          <w:r>
            <w:fldChar w:fldCharType="separate"/>
          </w:r>
          <w:r>
            <w:t>3</w:t>
          </w:r>
          <w:r>
            <w:fldChar w:fldCharType="end"/>
          </w:r>
          <w:r>
            <w:rPr>
              <w:rFonts w:eastAsia="Calibri" w:cs="Times New Roman"/>
              <w:szCs w:val="24"/>
            </w:rPr>
            <w:fldChar w:fldCharType="end"/>
          </w:r>
        </w:p>
        <w:p w14:paraId="01B67FB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_Toc8636 </w:instrText>
          </w:r>
          <w:r>
            <w:rPr>
              <w:rFonts w:eastAsia="Calibri" w:cs="Times New Roman"/>
              <w:szCs w:val="24"/>
            </w:rPr>
            <w:fldChar w:fldCharType="separate"/>
          </w:r>
          <w:r>
            <w:rPr>
              <w:rFonts w:hint="default" w:ascii="Wingdings" w:hAnsi="Wingdings"/>
              <w:szCs w:val="16"/>
              <w:lang w:val="en-GB"/>
            </w:rPr>
            <w:t xml:space="preserve"> </w:t>
          </w:r>
          <w:r>
            <w:rPr>
              <w:rFonts w:hint="default"/>
            </w:rPr>
            <w:t>EU says it attaches greater significance to its relationship with Ethiopia</w:t>
          </w:r>
          <w:r>
            <w:rPr>
              <w:rFonts w:hint="default"/>
              <w:lang w:val="en-GB"/>
            </w:rPr>
            <w:t xml:space="preserve"> </w:t>
          </w:r>
          <w:r>
            <w:tab/>
          </w:r>
          <w:r>
            <w:fldChar w:fldCharType="begin"/>
          </w:r>
          <w:r>
            <w:instrText xml:space="preserve"> PAGEREF _Toc8636 \h </w:instrText>
          </w:r>
          <w:r>
            <w:fldChar w:fldCharType="separate"/>
          </w:r>
          <w:r>
            <w:t>4</w:t>
          </w:r>
          <w:r>
            <w:fldChar w:fldCharType="end"/>
          </w:r>
          <w:r>
            <w:rPr>
              <w:rFonts w:eastAsia="Calibri" w:cs="Times New Roman"/>
              <w:szCs w:val="24"/>
            </w:rPr>
            <w:fldChar w:fldCharType="end"/>
          </w:r>
        </w:p>
        <w:p w14:paraId="4AEC3BD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_Toc25931 </w:instrText>
          </w:r>
          <w:r>
            <w:rPr>
              <w:rFonts w:eastAsia="Calibri" w:cs="Times New Roman"/>
              <w:szCs w:val="24"/>
            </w:rPr>
            <w:fldChar w:fldCharType="separate"/>
          </w:r>
          <w:r>
            <w:rPr>
              <w:rFonts w:hint="default" w:ascii="Wingdings" w:hAnsi="Wingdings"/>
              <w:szCs w:val="16"/>
              <w:lang w:val="en-GB"/>
            </w:rPr>
            <w:t xml:space="preserve"> </w:t>
          </w:r>
          <w:r>
            <w:rPr>
              <w:rFonts w:hint="default"/>
            </w:rPr>
            <w:t>PM Abiy receives a message from President Samia Suluhu of Tanzania</w:t>
          </w:r>
          <w:r>
            <w:tab/>
          </w:r>
          <w:r>
            <w:fldChar w:fldCharType="begin"/>
          </w:r>
          <w:r>
            <w:instrText xml:space="preserve"> PAGEREF _Toc25931 \h </w:instrText>
          </w:r>
          <w:r>
            <w:fldChar w:fldCharType="separate"/>
          </w:r>
          <w:r>
            <w:t>5</w:t>
          </w:r>
          <w:r>
            <w:fldChar w:fldCharType="end"/>
          </w:r>
          <w:r>
            <w:rPr>
              <w:rFonts w:eastAsia="Calibri" w:cs="Times New Roman"/>
              <w:szCs w:val="24"/>
            </w:rPr>
            <w:fldChar w:fldCharType="end"/>
          </w:r>
        </w:p>
        <w:p w14:paraId="6A237D5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_Toc32635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Germany discuss strengthening dev’t cooperation and future collaboration</w:t>
          </w:r>
          <w:r>
            <w:tab/>
          </w:r>
          <w:r>
            <w:fldChar w:fldCharType="begin"/>
          </w:r>
          <w:r>
            <w:instrText xml:space="preserve"> PAGEREF _Toc32635 \h </w:instrText>
          </w:r>
          <w:r>
            <w:fldChar w:fldCharType="separate"/>
          </w:r>
          <w:r>
            <w:t>5</w:t>
          </w:r>
          <w:r>
            <w:fldChar w:fldCharType="end"/>
          </w:r>
          <w:r>
            <w:rPr>
              <w:rFonts w:eastAsia="Calibri" w:cs="Times New Roman"/>
              <w:szCs w:val="24"/>
            </w:rPr>
            <w:fldChar w:fldCharType="end"/>
          </w:r>
        </w:p>
        <w:p w14:paraId="258C1DD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_Toc27969 </w:instrText>
          </w:r>
          <w:r>
            <w:rPr>
              <w:rFonts w:eastAsia="Calibri" w:cs="Times New Roman"/>
              <w:szCs w:val="24"/>
            </w:rPr>
            <w:fldChar w:fldCharType="separate"/>
          </w:r>
          <w:r>
            <w:rPr>
              <w:rFonts w:hint="default" w:ascii="Wingdings" w:hAnsi="Wingdings"/>
              <w:szCs w:val="16"/>
              <w:lang w:val="en-GB"/>
            </w:rPr>
            <w:t xml:space="preserve"> </w:t>
          </w:r>
          <w:r>
            <w:rPr>
              <w:rFonts w:hint="default"/>
            </w:rPr>
            <w:t>UAE reaffirms continued cooperation with AU</w:t>
          </w:r>
          <w:r>
            <w:tab/>
          </w:r>
          <w:r>
            <w:fldChar w:fldCharType="begin"/>
          </w:r>
          <w:r>
            <w:instrText xml:space="preserve"> PAGEREF _Toc27969 \h </w:instrText>
          </w:r>
          <w:r>
            <w:fldChar w:fldCharType="separate"/>
          </w:r>
          <w:r>
            <w:t>6</w:t>
          </w:r>
          <w:r>
            <w:fldChar w:fldCharType="end"/>
          </w:r>
          <w:r>
            <w:rPr>
              <w:rFonts w:eastAsia="Calibri" w:cs="Times New Roman"/>
              <w:szCs w:val="24"/>
            </w:rPr>
            <w:fldChar w:fldCharType="end"/>
          </w:r>
        </w:p>
        <w:p w14:paraId="2976817A">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_Toc28190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_Toc28190 \h </w:instrText>
          </w:r>
          <w:r>
            <w:fldChar w:fldCharType="separate"/>
          </w:r>
          <w:r>
            <w:t>6</w:t>
          </w:r>
          <w:r>
            <w:fldChar w:fldCharType="end"/>
          </w:r>
          <w:r>
            <w:rPr>
              <w:rFonts w:eastAsia="Calibri" w:cs="Times New Roman"/>
              <w:szCs w:val="24"/>
            </w:rPr>
            <w:fldChar w:fldCharType="end"/>
          </w:r>
        </w:p>
        <w:p w14:paraId="23B51DA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_Toc20333 </w:instrText>
          </w:r>
          <w:r>
            <w:rPr>
              <w:rFonts w:eastAsia="Calibri" w:cs="Times New Roman"/>
              <w:szCs w:val="24"/>
            </w:rPr>
            <w:fldChar w:fldCharType="separate"/>
          </w:r>
          <w:r>
            <w:t>Somalia</w:t>
          </w:r>
          <w:r>
            <w:tab/>
          </w:r>
          <w:r>
            <w:fldChar w:fldCharType="begin"/>
          </w:r>
          <w:r>
            <w:instrText xml:space="preserve"> PAGEREF _Toc20333 \h </w:instrText>
          </w:r>
          <w:r>
            <w:fldChar w:fldCharType="separate"/>
          </w:r>
          <w:r>
            <w:t>6</w:t>
          </w:r>
          <w:r>
            <w:fldChar w:fldCharType="end"/>
          </w:r>
          <w:r>
            <w:rPr>
              <w:rFonts w:eastAsia="Calibri" w:cs="Times New Roman"/>
              <w:szCs w:val="24"/>
            </w:rPr>
            <w:fldChar w:fldCharType="end"/>
          </w:r>
        </w:p>
        <w:p w14:paraId="12F6E5A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_Toc30844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President arrives in Turkey to attend to Antalya Diplomacy Forum</w:t>
          </w:r>
          <w:r>
            <w:tab/>
          </w:r>
          <w:r>
            <w:fldChar w:fldCharType="begin"/>
          </w:r>
          <w:r>
            <w:instrText xml:space="preserve"> PAGEREF _Toc30844 \h </w:instrText>
          </w:r>
          <w:r>
            <w:fldChar w:fldCharType="separate"/>
          </w:r>
          <w:r>
            <w:t>6</w:t>
          </w:r>
          <w:r>
            <w:fldChar w:fldCharType="end"/>
          </w:r>
          <w:r>
            <w:rPr>
              <w:rFonts w:eastAsia="Calibri" w:cs="Times New Roman"/>
              <w:szCs w:val="24"/>
            </w:rPr>
            <w:fldChar w:fldCharType="end"/>
          </w:r>
        </w:p>
        <w:p w14:paraId="134AE99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_Toc27721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Somalia, Arab League discuss bilateral cooperation</w:t>
          </w:r>
          <w:r>
            <w:tab/>
          </w:r>
          <w:r>
            <w:fldChar w:fldCharType="begin"/>
          </w:r>
          <w:r>
            <w:instrText xml:space="preserve"> PAGEREF _Toc27721 \h </w:instrText>
          </w:r>
          <w:r>
            <w:fldChar w:fldCharType="separate"/>
          </w:r>
          <w:r>
            <w:t>7</w:t>
          </w:r>
          <w:r>
            <w:fldChar w:fldCharType="end"/>
          </w:r>
          <w:r>
            <w:rPr>
              <w:rFonts w:eastAsia="Calibri" w:cs="Times New Roman"/>
              <w:szCs w:val="24"/>
            </w:rPr>
            <w:fldChar w:fldCharType="end"/>
          </w:r>
        </w:p>
        <w:p w14:paraId="00341C4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_Toc549 </w:instrText>
          </w:r>
          <w:r>
            <w:rPr>
              <w:rFonts w:eastAsia="Calibri" w:cs="Times New Roman"/>
              <w:szCs w:val="24"/>
            </w:rPr>
            <w:fldChar w:fldCharType="separate"/>
          </w:r>
          <w:r>
            <w:rPr>
              <w:szCs w:val="24"/>
            </w:rPr>
            <w:t>Sudan</w:t>
          </w:r>
          <w:r>
            <w:tab/>
          </w:r>
          <w:r>
            <w:fldChar w:fldCharType="begin"/>
          </w:r>
          <w:r>
            <w:instrText xml:space="preserve"> PAGEREF _Toc549 \h </w:instrText>
          </w:r>
          <w:r>
            <w:fldChar w:fldCharType="separate"/>
          </w:r>
          <w:r>
            <w:t>7</w:t>
          </w:r>
          <w:r>
            <w:fldChar w:fldCharType="end"/>
          </w:r>
          <w:r>
            <w:rPr>
              <w:rFonts w:eastAsia="Calibri" w:cs="Times New Roman"/>
              <w:szCs w:val="24"/>
            </w:rPr>
            <w:fldChar w:fldCharType="end"/>
          </w:r>
        </w:p>
        <w:p w14:paraId="3FD3C9E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_Toc29241 </w:instrText>
          </w:r>
          <w:r>
            <w:rPr>
              <w:rFonts w:eastAsia="Calibri" w:cs="Times New Roman"/>
              <w:szCs w:val="24"/>
            </w:rPr>
            <w:fldChar w:fldCharType="separate"/>
          </w:r>
          <w:r>
            <w:rPr>
              <w:rFonts w:hint="default" w:ascii="Wingdings" w:hAnsi="Wingdings"/>
              <w:szCs w:val="16"/>
              <w:lang w:val="en-GB"/>
            </w:rPr>
            <w:t xml:space="preserve"> </w:t>
          </w:r>
          <w:r>
            <w:rPr>
              <w:rFonts w:hint="default"/>
            </w:rPr>
            <w:t>Sudan’s Burhan discusses conflict, ties with Eritrean president in Asmara</w:t>
          </w:r>
          <w:r>
            <w:tab/>
          </w:r>
          <w:r>
            <w:fldChar w:fldCharType="begin"/>
          </w:r>
          <w:r>
            <w:instrText xml:space="preserve"> PAGEREF _Toc29241 \h </w:instrText>
          </w:r>
          <w:r>
            <w:fldChar w:fldCharType="separate"/>
          </w:r>
          <w:r>
            <w:t>7</w:t>
          </w:r>
          <w:r>
            <w:fldChar w:fldCharType="end"/>
          </w:r>
          <w:r>
            <w:rPr>
              <w:rFonts w:eastAsia="Calibri" w:cs="Times New Roman"/>
              <w:szCs w:val="24"/>
            </w:rPr>
            <w:fldChar w:fldCharType="end"/>
          </w:r>
        </w:p>
        <w:p w14:paraId="510ED09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_Toc15541 </w:instrText>
          </w:r>
          <w:r>
            <w:rPr>
              <w:rFonts w:eastAsia="Calibri" w:cs="Times New Roman"/>
              <w:szCs w:val="24"/>
            </w:rPr>
            <w:fldChar w:fldCharType="separate"/>
          </w:r>
          <w:r>
            <w:rPr>
              <w:rFonts w:hint="default" w:ascii="Wingdings" w:hAnsi="Wingdings"/>
              <w:szCs w:val="16"/>
              <w:lang w:val="en-GB"/>
            </w:rPr>
            <w:t xml:space="preserve"> </w:t>
          </w:r>
          <w:r>
            <w:rPr>
              <w:rFonts w:hint="default"/>
            </w:rPr>
            <w:t>EU pledges 282.5 mln euros for Sudan crisis aid</w:t>
          </w:r>
          <w:r>
            <w:rPr>
              <w:rFonts w:hint="default"/>
              <w:lang w:val="en-GB"/>
            </w:rPr>
            <w:t xml:space="preserve"> </w:t>
          </w:r>
          <w:r>
            <w:tab/>
          </w:r>
          <w:r>
            <w:fldChar w:fldCharType="begin"/>
          </w:r>
          <w:r>
            <w:instrText xml:space="preserve"> PAGEREF _Toc15541 \h </w:instrText>
          </w:r>
          <w:r>
            <w:fldChar w:fldCharType="separate"/>
          </w:r>
          <w:r>
            <w:t>8</w:t>
          </w:r>
          <w:r>
            <w:fldChar w:fldCharType="end"/>
          </w:r>
          <w:r>
            <w:rPr>
              <w:rFonts w:eastAsia="Calibri" w:cs="Times New Roman"/>
              <w:szCs w:val="24"/>
            </w:rPr>
            <w:fldChar w:fldCharType="end"/>
          </w:r>
        </w:p>
        <w:p w14:paraId="5C7E129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_Toc15883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asks ICJ to order UAE to halt alleged support for genocide</w:t>
          </w:r>
          <w:r>
            <w:tab/>
          </w:r>
          <w:r>
            <w:fldChar w:fldCharType="begin"/>
          </w:r>
          <w:r>
            <w:instrText xml:space="preserve"> PAGEREF _Toc15883 \h </w:instrText>
          </w:r>
          <w:r>
            <w:fldChar w:fldCharType="separate"/>
          </w:r>
          <w:r>
            <w:t>8</w:t>
          </w:r>
          <w:r>
            <w:fldChar w:fldCharType="end"/>
          </w:r>
          <w:r>
            <w:rPr>
              <w:rFonts w:eastAsia="Calibri" w:cs="Times New Roman"/>
              <w:szCs w:val="24"/>
            </w:rPr>
            <w:fldChar w:fldCharType="end"/>
          </w:r>
        </w:p>
        <w:p w14:paraId="65CE966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_Toc17627 </w:instrText>
          </w:r>
          <w:r>
            <w:rPr>
              <w:rFonts w:eastAsia="Calibri" w:cs="Times New Roman"/>
              <w:szCs w:val="24"/>
            </w:rPr>
            <w:fldChar w:fldCharType="separate"/>
          </w:r>
          <w:r>
            <w:rPr>
              <w:rFonts w:hint="default" w:ascii="Wingdings" w:hAnsi="Wingdings"/>
              <w:szCs w:val="16"/>
              <w:lang w:val="en-GB"/>
            </w:rPr>
            <w:t xml:space="preserve"> </w:t>
          </w:r>
          <w:r>
            <w:rPr>
              <w:rFonts w:hint="default"/>
            </w:rPr>
            <w:t>Amnesty accuses RSF of widespread sexual violence as war crime in Sudan</w:t>
          </w:r>
          <w:r>
            <w:tab/>
          </w:r>
          <w:r>
            <w:fldChar w:fldCharType="begin"/>
          </w:r>
          <w:r>
            <w:instrText xml:space="preserve"> PAGEREF _Toc17627 \h </w:instrText>
          </w:r>
          <w:r>
            <w:fldChar w:fldCharType="separate"/>
          </w:r>
          <w:r>
            <w:t>9</w:t>
          </w:r>
          <w:r>
            <w:fldChar w:fldCharType="end"/>
          </w:r>
          <w:r>
            <w:rPr>
              <w:rFonts w:eastAsia="Calibri" w:cs="Times New Roman"/>
              <w:szCs w:val="24"/>
            </w:rPr>
            <w:fldChar w:fldCharType="end"/>
          </w:r>
        </w:p>
        <w:p w14:paraId="571C50C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_Toc18529 </w:instrText>
          </w:r>
          <w:r>
            <w:rPr>
              <w:rFonts w:eastAsia="Calibri" w:cs="Times New Roman"/>
              <w:szCs w:val="24"/>
            </w:rPr>
            <w:fldChar w:fldCharType="separate"/>
          </w:r>
          <w:r>
            <w:rPr>
              <w:rFonts w:hint="default" w:ascii="Wingdings" w:hAnsi="Wingdings"/>
              <w:szCs w:val="16"/>
              <w:lang w:val="en-GB"/>
            </w:rPr>
            <w:t xml:space="preserve"> </w:t>
          </w:r>
          <w:r>
            <w:rPr>
              <w:rFonts w:hint="default"/>
            </w:rPr>
            <w:t>Sudan’s Burhan, Malian intelligence chief discuss closer ties amid conflict</w:t>
          </w:r>
          <w:r>
            <w:tab/>
          </w:r>
          <w:r>
            <w:fldChar w:fldCharType="begin"/>
          </w:r>
          <w:r>
            <w:instrText xml:space="preserve"> PAGEREF _Toc18529 \h </w:instrText>
          </w:r>
          <w:r>
            <w:fldChar w:fldCharType="separate"/>
          </w:r>
          <w:r>
            <w:t>10</w:t>
          </w:r>
          <w:r>
            <w:fldChar w:fldCharType="end"/>
          </w:r>
          <w:r>
            <w:rPr>
              <w:rFonts w:eastAsia="Calibri" w:cs="Times New Roman"/>
              <w:szCs w:val="24"/>
            </w:rPr>
            <w:fldChar w:fldCharType="end"/>
          </w:r>
        </w:p>
        <w:p w14:paraId="48535516">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_Toc3228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_Toc3228 \h </w:instrText>
          </w:r>
          <w:r>
            <w:fldChar w:fldCharType="separate"/>
          </w:r>
          <w:r>
            <w:t>11</w:t>
          </w:r>
          <w:r>
            <w:fldChar w:fldCharType="end"/>
          </w:r>
          <w:r>
            <w:rPr>
              <w:rFonts w:eastAsia="Calibri" w:cs="Times New Roman"/>
              <w:szCs w:val="24"/>
            </w:rPr>
            <w:fldChar w:fldCharType="end"/>
          </w:r>
        </w:p>
        <w:p w14:paraId="2D7E9CA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_Toc20337 </w:instrText>
          </w:r>
          <w:r>
            <w:rPr>
              <w:rFonts w:eastAsia="Calibri" w:cs="Times New Roman"/>
              <w:szCs w:val="24"/>
            </w:rPr>
            <w:fldChar w:fldCharType="separate"/>
          </w:r>
          <w:r>
            <w:t>Iran</w:t>
          </w:r>
          <w:r>
            <w:tab/>
          </w:r>
          <w:r>
            <w:fldChar w:fldCharType="begin"/>
          </w:r>
          <w:r>
            <w:instrText xml:space="preserve"> PAGEREF _Toc20337 \h </w:instrText>
          </w:r>
          <w:r>
            <w:fldChar w:fldCharType="separate"/>
          </w:r>
          <w:r>
            <w:t>11</w:t>
          </w:r>
          <w:r>
            <w:fldChar w:fldCharType="end"/>
          </w:r>
          <w:r>
            <w:rPr>
              <w:rFonts w:eastAsia="Calibri" w:cs="Times New Roman"/>
              <w:szCs w:val="24"/>
            </w:rPr>
            <w:fldChar w:fldCharType="end"/>
          </w:r>
        </w:p>
        <w:p w14:paraId="0E957DA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_Toc9362 </w:instrText>
          </w:r>
          <w:r>
            <w:rPr>
              <w:rFonts w:eastAsia="Calibri" w:cs="Times New Roman"/>
              <w:szCs w:val="24"/>
            </w:rPr>
            <w:fldChar w:fldCharType="separate"/>
          </w:r>
          <w:r>
            <w:rPr>
              <w:rFonts w:hint="default" w:ascii="Wingdings" w:hAnsi="Wingdings"/>
              <w:szCs w:val="16"/>
              <w:lang w:val="en-GB"/>
            </w:rPr>
            <w:t xml:space="preserve"> </w:t>
          </w:r>
          <w:r>
            <w:rPr>
              <w:rFonts w:hint="default"/>
            </w:rPr>
            <w:t>Iran says IAEA inspectors could be expelled if threats continue</w:t>
          </w:r>
          <w:r>
            <w:tab/>
          </w:r>
          <w:r>
            <w:fldChar w:fldCharType="begin"/>
          </w:r>
          <w:r>
            <w:instrText xml:space="preserve"> PAGEREF _Toc9362 \h </w:instrText>
          </w:r>
          <w:r>
            <w:fldChar w:fldCharType="separate"/>
          </w:r>
          <w:r>
            <w:t>11</w:t>
          </w:r>
          <w:r>
            <w:fldChar w:fldCharType="end"/>
          </w:r>
          <w:r>
            <w:rPr>
              <w:rFonts w:eastAsia="Calibri" w:cs="Times New Roman"/>
              <w:szCs w:val="24"/>
            </w:rPr>
            <w:fldChar w:fldCharType="end"/>
          </w:r>
        </w:p>
        <w:p w14:paraId="6491C27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_Toc10177 </w:instrText>
          </w:r>
          <w:r>
            <w:rPr>
              <w:rFonts w:eastAsia="Calibri" w:cs="Times New Roman"/>
              <w:szCs w:val="24"/>
            </w:rPr>
            <w:fldChar w:fldCharType="separate"/>
          </w:r>
          <w:r>
            <w:rPr>
              <w:rFonts w:hint="default"/>
              <w:lang w:val="en-GB"/>
            </w:rPr>
            <w:t>Lebanon</w:t>
          </w:r>
          <w:r>
            <w:tab/>
          </w:r>
          <w:r>
            <w:fldChar w:fldCharType="begin"/>
          </w:r>
          <w:r>
            <w:instrText xml:space="preserve"> PAGEREF _Toc10177 \h </w:instrText>
          </w:r>
          <w:r>
            <w:fldChar w:fldCharType="separate"/>
          </w:r>
          <w:r>
            <w:t>11</w:t>
          </w:r>
          <w:r>
            <w:fldChar w:fldCharType="end"/>
          </w:r>
          <w:r>
            <w:rPr>
              <w:rFonts w:eastAsia="Calibri" w:cs="Times New Roman"/>
              <w:szCs w:val="24"/>
            </w:rPr>
            <w:fldChar w:fldCharType="end"/>
          </w:r>
        </w:p>
        <w:p w14:paraId="2B7069B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_Toc17460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Lebanon reports new Israeli drone strike amid ceasefire violations</w:t>
          </w:r>
          <w:r>
            <w:tab/>
          </w:r>
          <w:r>
            <w:fldChar w:fldCharType="begin"/>
          </w:r>
          <w:r>
            <w:instrText xml:space="preserve"> PAGEREF _Toc17460 \h </w:instrText>
          </w:r>
          <w:r>
            <w:fldChar w:fldCharType="separate"/>
          </w:r>
          <w:r>
            <w:t>11</w:t>
          </w:r>
          <w:r>
            <w:fldChar w:fldCharType="end"/>
          </w:r>
          <w:r>
            <w:rPr>
              <w:rFonts w:eastAsia="Calibri" w:cs="Times New Roman"/>
              <w:szCs w:val="24"/>
            </w:rPr>
            <w:fldChar w:fldCharType="end"/>
          </w:r>
        </w:p>
        <w:p w14:paraId="47323E4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_Toc13255 </w:instrText>
          </w:r>
          <w:r>
            <w:rPr>
              <w:rFonts w:eastAsia="Calibri" w:cs="Times New Roman"/>
              <w:szCs w:val="24"/>
            </w:rPr>
            <w:fldChar w:fldCharType="separate"/>
          </w:r>
          <w:r>
            <w:t>Israel</w:t>
          </w:r>
          <w:r>
            <w:tab/>
          </w:r>
          <w:r>
            <w:fldChar w:fldCharType="begin"/>
          </w:r>
          <w:r>
            <w:instrText xml:space="preserve"> PAGEREF _Toc13255 \h </w:instrText>
          </w:r>
          <w:r>
            <w:fldChar w:fldCharType="separate"/>
          </w:r>
          <w:r>
            <w:t>12</w:t>
          </w:r>
          <w:r>
            <w:fldChar w:fldCharType="end"/>
          </w:r>
          <w:r>
            <w:rPr>
              <w:rFonts w:eastAsia="Calibri" w:cs="Times New Roman"/>
              <w:szCs w:val="24"/>
            </w:rPr>
            <w:fldChar w:fldCharType="end"/>
          </w:r>
        </w:p>
        <w:p w14:paraId="37A535D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_Toc12663 </w:instrText>
          </w:r>
          <w:r>
            <w:rPr>
              <w:rFonts w:eastAsia="Calibri" w:cs="Times New Roman"/>
              <w:szCs w:val="24"/>
            </w:rPr>
            <w:fldChar w:fldCharType="separate"/>
          </w:r>
          <w:r>
            <w:rPr>
              <w:rFonts w:hint="default" w:ascii="Wingdings" w:hAnsi="Wingdings"/>
              <w:szCs w:val="16"/>
              <w:lang w:val="en-GB"/>
            </w:rPr>
            <w:t xml:space="preserve"> </w:t>
          </w:r>
          <w:r>
            <w:rPr>
              <w:rFonts w:hint="default"/>
            </w:rPr>
            <w:t>Netanyahu backs dismissal of Israeli reservists calling for end to Gaza war</w:t>
          </w:r>
          <w:r>
            <w:tab/>
          </w:r>
          <w:r>
            <w:fldChar w:fldCharType="begin"/>
          </w:r>
          <w:r>
            <w:instrText xml:space="preserve"> PAGEREF _Toc12663 \h </w:instrText>
          </w:r>
          <w:r>
            <w:fldChar w:fldCharType="separate"/>
          </w:r>
          <w:r>
            <w:t>12</w:t>
          </w:r>
          <w:r>
            <w:fldChar w:fldCharType="end"/>
          </w:r>
          <w:r>
            <w:rPr>
              <w:rFonts w:eastAsia="Calibri" w:cs="Times New Roman"/>
              <w:szCs w:val="24"/>
            </w:rPr>
            <w:fldChar w:fldCharType="end"/>
          </w:r>
        </w:p>
        <w:p w14:paraId="77F0DEA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_Toc16796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Israeli court rejects appeal to restore electricity in Gaza</w:t>
          </w:r>
          <w:r>
            <w:tab/>
          </w:r>
          <w:r>
            <w:fldChar w:fldCharType="begin"/>
          </w:r>
          <w:r>
            <w:instrText xml:space="preserve"> PAGEREF _Toc16796 \h </w:instrText>
          </w:r>
          <w:r>
            <w:fldChar w:fldCharType="separate"/>
          </w:r>
          <w:r>
            <w:t>13</w:t>
          </w:r>
          <w:r>
            <w:fldChar w:fldCharType="end"/>
          </w:r>
          <w:r>
            <w:rPr>
              <w:rFonts w:eastAsia="Calibri" w:cs="Times New Roman"/>
              <w:szCs w:val="24"/>
            </w:rPr>
            <w:fldChar w:fldCharType="end"/>
          </w:r>
        </w:p>
        <w:p w14:paraId="19CD1CD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_Toc27197 </w:instrText>
          </w:r>
          <w:r>
            <w:rPr>
              <w:rFonts w:eastAsia="Calibri" w:cs="Times New Roman"/>
              <w:szCs w:val="24"/>
            </w:rPr>
            <w:fldChar w:fldCharType="separate"/>
          </w:r>
          <w:r>
            <w:t>Palestine</w:t>
          </w:r>
          <w:r>
            <w:tab/>
          </w:r>
          <w:r>
            <w:fldChar w:fldCharType="begin"/>
          </w:r>
          <w:r>
            <w:instrText xml:space="preserve"> PAGEREF _Toc27197 \h </w:instrText>
          </w:r>
          <w:r>
            <w:fldChar w:fldCharType="separate"/>
          </w:r>
          <w:r>
            <w:t>13</w:t>
          </w:r>
          <w:r>
            <w:fldChar w:fldCharType="end"/>
          </w:r>
          <w:r>
            <w:rPr>
              <w:rFonts w:eastAsia="Calibri" w:cs="Times New Roman"/>
              <w:szCs w:val="24"/>
            </w:rPr>
            <w:fldChar w:fldCharType="end"/>
          </w:r>
        </w:p>
        <w:p w14:paraId="18921DA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_Toc18205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says statements and condemnations are no longer acceptable from Arab and Islamic countries</w:t>
          </w:r>
          <w:r>
            <w:rPr>
              <w:rFonts w:hint="default"/>
              <w:lang w:val="en-GB"/>
            </w:rPr>
            <w:t xml:space="preserve"> </w:t>
          </w:r>
          <w:r>
            <w:tab/>
          </w:r>
          <w:r>
            <w:fldChar w:fldCharType="begin"/>
          </w:r>
          <w:r>
            <w:instrText xml:space="preserve"> PAGEREF _Toc18205 \h </w:instrText>
          </w:r>
          <w:r>
            <w:fldChar w:fldCharType="separate"/>
          </w:r>
          <w:r>
            <w:t>13</w:t>
          </w:r>
          <w:r>
            <w:fldChar w:fldCharType="end"/>
          </w:r>
          <w:r>
            <w:rPr>
              <w:rFonts w:eastAsia="Calibri" w:cs="Times New Roman"/>
              <w:szCs w:val="24"/>
            </w:rPr>
            <w:fldChar w:fldCharType="end"/>
          </w:r>
        </w:p>
        <w:p w14:paraId="6629714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_Toc18026 </w:instrText>
          </w:r>
          <w:r>
            <w:rPr>
              <w:rFonts w:eastAsia="Calibri" w:cs="Times New Roman"/>
              <w:szCs w:val="24"/>
            </w:rPr>
            <w:fldChar w:fldCharType="separate"/>
          </w:r>
          <w:r>
            <w:t>Turkey</w:t>
          </w:r>
          <w:r>
            <w:tab/>
          </w:r>
          <w:r>
            <w:fldChar w:fldCharType="begin"/>
          </w:r>
          <w:r>
            <w:instrText xml:space="preserve"> PAGEREF _Toc18026 \h </w:instrText>
          </w:r>
          <w:r>
            <w:fldChar w:fldCharType="separate"/>
          </w:r>
          <w:r>
            <w:t>14</w:t>
          </w:r>
          <w:r>
            <w:fldChar w:fldCharType="end"/>
          </w:r>
          <w:r>
            <w:rPr>
              <w:rFonts w:eastAsia="Calibri" w:cs="Times New Roman"/>
              <w:szCs w:val="24"/>
            </w:rPr>
            <w:fldChar w:fldCharType="end"/>
          </w:r>
        </w:p>
        <w:p w14:paraId="33F9D17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_Toc30761 </w:instrText>
          </w:r>
          <w:r>
            <w:rPr>
              <w:rFonts w:eastAsia="Calibri" w:cs="Times New Roman"/>
              <w:szCs w:val="24"/>
            </w:rPr>
            <w:fldChar w:fldCharType="separate"/>
          </w:r>
          <w:r>
            <w:rPr>
              <w:rFonts w:hint="default" w:ascii="Wingdings" w:hAnsi="Wingdings"/>
              <w:szCs w:val="16"/>
              <w:lang w:val="en-GB"/>
            </w:rPr>
            <w:t xml:space="preserve"> </w:t>
          </w:r>
          <w:r>
            <w:rPr>
              <w:rFonts w:hint="default"/>
            </w:rPr>
            <w:t>Turkiye, Israel have begun talks to avoid clashes in Syria, sources say</w:t>
          </w:r>
          <w:r>
            <w:tab/>
          </w:r>
          <w:r>
            <w:fldChar w:fldCharType="begin"/>
          </w:r>
          <w:r>
            <w:instrText xml:space="preserve"> PAGEREF _Toc30761 \h </w:instrText>
          </w:r>
          <w:r>
            <w:fldChar w:fldCharType="separate"/>
          </w:r>
          <w:r>
            <w:t>14</w:t>
          </w:r>
          <w:r>
            <w:fldChar w:fldCharType="end"/>
          </w:r>
          <w:r>
            <w:rPr>
              <w:rFonts w:eastAsia="Calibri" w:cs="Times New Roman"/>
              <w:szCs w:val="24"/>
            </w:rPr>
            <w:fldChar w:fldCharType="end"/>
          </w:r>
        </w:p>
        <w:p w14:paraId="5AB7A342">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_Toc16295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_Toc16295 \h </w:instrText>
          </w:r>
          <w:r>
            <w:fldChar w:fldCharType="separate"/>
          </w:r>
          <w:r>
            <w:t>15</w:t>
          </w:r>
          <w:r>
            <w:fldChar w:fldCharType="end"/>
          </w:r>
          <w:r>
            <w:rPr>
              <w:rFonts w:eastAsia="Calibri" w:cs="Times New Roman"/>
              <w:szCs w:val="24"/>
            </w:rPr>
            <w:fldChar w:fldCharType="end"/>
          </w:r>
        </w:p>
        <w:p w14:paraId="31458B7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_Toc20460 </w:instrText>
          </w:r>
          <w:r>
            <w:rPr>
              <w:rFonts w:eastAsia="Calibri" w:cs="Times New Roman"/>
              <w:szCs w:val="24"/>
            </w:rPr>
            <w:fldChar w:fldCharType="separate"/>
          </w:r>
          <w:r>
            <w:rPr>
              <w:rFonts w:hint="default"/>
              <w:lang w:val="en-GB" w:eastAsia="zh-CN"/>
            </w:rPr>
            <w:t>US</w:t>
          </w:r>
          <w:r>
            <w:tab/>
          </w:r>
          <w:r>
            <w:fldChar w:fldCharType="begin"/>
          </w:r>
          <w:r>
            <w:instrText xml:space="preserve"> PAGEREF _Toc20460 \h </w:instrText>
          </w:r>
          <w:r>
            <w:fldChar w:fldCharType="separate"/>
          </w:r>
          <w:r>
            <w:t>15</w:t>
          </w:r>
          <w:r>
            <w:fldChar w:fldCharType="end"/>
          </w:r>
          <w:r>
            <w:rPr>
              <w:rFonts w:eastAsia="Calibri" w:cs="Times New Roman"/>
              <w:szCs w:val="24"/>
            </w:rPr>
            <w:fldChar w:fldCharType="end"/>
          </w:r>
        </w:p>
        <w:p w14:paraId="68E4211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_Toc13325 </w:instrText>
          </w:r>
          <w:r>
            <w:rPr>
              <w:rFonts w:eastAsia="Calibri" w:cs="Times New Roman"/>
              <w:szCs w:val="24"/>
            </w:rPr>
            <w:fldChar w:fldCharType="separate"/>
          </w:r>
          <w:r>
            <w:rPr>
              <w:rFonts w:hint="default" w:ascii="Wingdings" w:hAnsi="Wingdings"/>
              <w:szCs w:val="16"/>
              <w:lang w:val="en-GB"/>
            </w:rPr>
            <w:t xml:space="preserve"> </w:t>
          </w:r>
          <w:r>
            <w:rPr>
              <w:rFonts w:hint="default"/>
            </w:rPr>
            <w:t>U.S., Russia say progress made during 2nd round of talks in Istanbul</w:t>
          </w:r>
          <w:r>
            <w:tab/>
          </w:r>
          <w:r>
            <w:fldChar w:fldCharType="begin"/>
          </w:r>
          <w:r>
            <w:instrText xml:space="preserve"> PAGEREF _Toc13325 \h </w:instrText>
          </w:r>
          <w:r>
            <w:fldChar w:fldCharType="separate"/>
          </w:r>
          <w:r>
            <w:t>15</w:t>
          </w:r>
          <w:r>
            <w:fldChar w:fldCharType="end"/>
          </w:r>
          <w:r>
            <w:rPr>
              <w:rFonts w:eastAsia="Calibri" w:cs="Times New Roman"/>
              <w:szCs w:val="24"/>
            </w:rPr>
            <w:fldChar w:fldCharType="end"/>
          </w:r>
        </w:p>
        <w:p w14:paraId="11B8601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_Toc11598 </w:instrText>
          </w:r>
          <w:r>
            <w:rPr>
              <w:rFonts w:eastAsia="Calibri" w:cs="Times New Roman"/>
              <w:szCs w:val="24"/>
            </w:rPr>
            <w:fldChar w:fldCharType="separate"/>
          </w:r>
          <w:r>
            <w:rPr>
              <w:rFonts w:hint="default" w:ascii="Wingdings" w:hAnsi="Wingdings"/>
              <w:szCs w:val="16"/>
              <w:lang w:val="en-GB"/>
            </w:rPr>
            <w:t xml:space="preserve"> </w:t>
          </w:r>
          <w:r>
            <w:rPr>
              <w:rFonts w:hint="default"/>
            </w:rPr>
            <w:t>Total US tariffs on Chinese imports now at 145%: White House official</w:t>
          </w:r>
          <w:r>
            <w:tab/>
          </w:r>
          <w:r>
            <w:fldChar w:fldCharType="begin"/>
          </w:r>
          <w:r>
            <w:instrText xml:space="preserve"> PAGEREF _Toc11598 \h </w:instrText>
          </w:r>
          <w:r>
            <w:fldChar w:fldCharType="separate"/>
          </w:r>
          <w:r>
            <w:t>16</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cs="Times New Roman"/>
          <w:szCs w:val="24"/>
        </w:rPr>
      </w:pPr>
      <w:r>
        <w:rPr>
          <w:rFonts w:cs="Times New Roman"/>
          <w:szCs w:val="24"/>
        </w:rPr>
        <w:br w:type="page"/>
      </w:r>
    </w:p>
    <w:p w14:paraId="5F6D74E5">
      <w:pPr>
        <w:spacing w:line="276" w:lineRule="auto"/>
        <w:outlineLvl w:val="0"/>
        <w:rPr>
          <w:rFonts w:eastAsia="DengXian Light" w:cs="Times New Roman"/>
          <w:b/>
          <w:bCs/>
          <w:color w:val="2F5496"/>
          <w:szCs w:val="24"/>
          <w:u w:val="single"/>
        </w:rPr>
      </w:pPr>
      <w:bookmarkStart w:id="0" w:name="_Toc1347"/>
      <w:r>
        <w:rPr>
          <w:rFonts w:eastAsia="DengXian Light" w:cs="Times New Roman"/>
          <w:b/>
          <w:bCs/>
          <w:color w:val="2F5496"/>
          <w:szCs w:val="24"/>
          <w:u w:val="single"/>
        </w:rPr>
        <w:t>Ethiopia</w:t>
      </w:r>
      <w:bookmarkEnd w:id="0"/>
    </w:p>
    <w:p w14:paraId="03BF6D9C">
      <w:pPr>
        <w:numPr>
          <w:ilvl w:val="0"/>
          <w:numId w:val="1"/>
        </w:numPr>
        <w:spacing w:line="276" w:lineRule="auto"/>
        <w:ind w:left="420" w:leftChars="0" w:hanging="420" w:firstLineChars="0"/>
        <w:rPr>
          <w:rFonts w:hint="default"/>
          <w:szCs w:val="24"/>
        </w:rPr>
      </w:pPr>
      <w:bookmarkStart w:id="1" w:name="_Toc18897"/>
      <w:r>
        <w:rPr>
          <w:rStyle w:val="15"/>
          <w:rFonts w:hint="default"/>
        </w:rPr>
        <w:t>PM Abiy appoints Mr. Getachew Reda as his Advisor for East African Affairs</w:t>
      </w:r>
      <w:r>
        <w:rPr>
          <w:rStyle w:val="15"/>
          <w:rFonts w:hint="default"/>
          <w:lang w:val="en-GB"/>
        </w:rPr>
        <w:t xml:space="preserve"> </w:t>
      </w:r>
      <w:bookmarkEnd w:id="1"/>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"https://www.fanamc.com/english/pm-abiy-appoints-mr-getachew-reda-as-advisor-for-east-african-affairs/"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51FB3011">
      <w:pPr>
        <w:spacing w:line="276" w:lineRule="auto"/>
        <w:rPr>
          <w:rFonts w:hint="default"/>
          <w:szCs w:val="24"/>
        </w:rPr>
      </w:pPr>
      <w:r>
        <w:rPr>
          <w:rFonts w:hint="default"/>
          <w:szCs w:val="24"/>
        </w:rPr>
        <w:t>Prime Minister Abiy Ahmed (PhD) has appointed Mr. Getachew Reda as his Advisor for East African Affairs, with the title of Minister, the Office of the Prime Minister announced today.</w:t>
      </w:r>
      <w:r>
        <w:rPr>
          <w:rFonts w:hint="default"/>
          <w:szCs w:val="24"/>
          <w:lang w:val="en-GB"/>
        </w:rPr>
        <w:t xml:space="preserve"> </w:t>
      </w:r>
      <w:r>
        <w:rPr>
          <w:rFonts w:hint="default"/>
          <w:szCs w:val="24"/>
        </w:rPr>
        <w:t>According to a statement from the Prime Minister’s Office, Mr. Getachew’s appointment as the PM Advisor on regional affairs is effective from today, April 11, 2025.</w:t>
      </w:r>
      <w:r>
        <w:rPr>
          <w:rFonts w:hint="default"/>
          <w:szCs w:val="24"/>
          <w:lang w:val="en-GB"/>
        </w:rPr>
        <w:t xml:space="preserve"> </w:t>
      </w:r>
      <w:r>
        <w:rPr>
          <w:rFonts w:hint="default"/>
          <w:szCs w:val="24"/>
        </w:rPr>
        <w:t>Mr. Getachew has been serving</w:t>
      </w:r>
      <w:bookmarkStart w:id="33" w:name="_GoBack"/>
      <w:bookmarkEnd w:id="33"/>
      <w:r>
        <w:rPr>
          <w:rFonts w:hint="default"/>
          <w:szCs w:val="24"/>
        </w:rPr>
        <w:t xml:space="preserve"> as the Chief Administrator of the Tigray Region Interim Administration for the past two years, following the signing of the Pretoria Peace Agreement. Upon completing his tenure, he was succeeded this week by his Deputy, Lt. General Taddese Worede.</w:t>
      </w:r>
      <w:r>
        <w:rPr>
          <w:rFonts w:hint="default"/>
          <w:szCs w:val="24"/>
          <w:lang w:val="en-GB"/>
        </w:rPr>
        <w:t xml:space="preserve"> </w:t>
      </w:r>
      <w:r>
        <w:rPr>
          <w:rFonts w:hint="default"/>
          <w:szCs w:val="24"/>
        </w:rPr>
        <w:t>A handover ceremony for the presidency of the Tigray Region Interim Administration took place on April 8, 2025, at the Office of the Prime Minister. The event was attended by Prime Minister Abiy Ahmed, Deputy Prime Minister Temesgen Truneh, ministers, parliament speaker, African Union Commission Chairperson Mr. Mahmoud Ali Youssouf, Executive Secretary of the Intergovernmental Authority on Development (IGAD) Mr. Workneh Gebeyehu, heads of diplomatic missions of various countries and international organizations based in Addis Ababa, and other high-level officials.</w:t>
      </w:r>
      <w:r>
        <w:rPr>
          <w:rFonts w:hint="default"/>
          <w:szCs w:val="24"/>
          <w:lang w:val="en-GB"/>
        </w:rPr>
        <w:t xml:space="preserve"> </w:t>
      </w:r>
      <w:r>
        <w:rPr>
          <w:rFonts w:hint="default"/>
          <w:szCs w:val="24"/>
        </w:rPr>
        <w:t>It is noteworthy that the new interim regional administration led by Lt. General Taddese has officially commenced its work on April 10, 2025, as confirmed by the administration’s office.</w:t>
      </w:r>
    </w:p>
    <w:p w14:paraId="3E4CE9BA">
      <w:pPr>
        <w:numPr>
          <w:ilvl w:val="0"/>
          <w:numId w:val="1"/>
        </w:numPr>
        <w:spacing w:line="276" w:lineRule="auto"/>
        <w:ind w:left="420" w:leftChars="0" w:hanging="420" w:firstLineChars="0"/>
        <w:rPr>
          <w:rFonts w:hint="default"/>
          <w:szCs w:val="24"/>
        </w:rPr>
      </w:pPr>
      <w:bookmarkStart w:id="2" w:name="_Toc21318"/>
      <w:r>
        <w:rPr>
          <w:rStyle w:val="15"/>
          <w:rFonts w:hint="default"/>
        </w:rPr>
        <w:t>New Tigray Interim President holds first cabinet meeting; pledges to hold public conference for “urgent solutions,” vows to “fully implement Pretoria agreement”</w:t>
      </w:r>
      <w:r>
        <w:rPr>
          <w:rStyle w:val="15"/>
          <w:rFonts w:hint="default"/>
          <w:lang w:val="en-GB"/>
        </w:rPr>
        <w:t xml:space="preserve"> </w:t>
      </w:r>
      <w:bookmarkEnd w:id="2"/>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"https://addisstandard.com/new-tigray-interim-president-holds-first-cabinet-meeting-pledges-to-hold-public-conference-for-urgent-solutions-vows-to-fully-implement-pretoria-agreement/"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6DAD2BD8">
      <w:pPr>
        <w:spacing w:line="276" w:lineRule="auto"/>
        <w:rPr>
          <w:rFonts w:hint="default"/>
          <w:szCs w:val="24"/>
        </w:rPr>
      </w:pPr>
      <w:r>
        <w:rPr>
          <w:rFonts w:hint="default"/>
          <w:szCs w:val="24"/>
        </w:rPr>
        <w:t>Lieutenant General Tadesse Werede, who assumed office as President of the Tigray Interim Administration earlier this week, convened his cabinet for the first time on Thursday and pledged to address what he described as “pressing challenges” through a public conference, his office said.</w:t>
      </w:r>
      <w:r>
        <w:rPr>
          <w:rFonts w:hint="default"/>
          <w:szCs w:val="24"/>
          <w:lang w:val="en-GB"/>
        </w:rPr>
        <w:t xml:space="preserve"> </w:t>
      </w:r>
      <w:r>
        <w:rPr>
          <w:rFonts w:hint="default"/>
          <w:szCs w:val="24"/>
        </w:rPr>
        <w:t>According to a statement from his office, President Tadesse stated that the administration will soon hold “a public conference” aimed at establishing “urgent solutions to existing problems.” He also emphasized the importance of “an approach that enables all political organizations of the region and other sectors of society to work together on Tigray’s national interests.”</w:t>
      </w:r>
      <w:r>
        <w:rPr>
          <w:rFonts w:hint="default"/>
          <w:szCs w:val="24"/>
          <w:lang w:val="en-GB"/>
        </w:rPr>
        <w:t xml:space="preserve"> </w:t>
      </w:r>
      <w:r>
        <w:rPr>
          <w:rFonts w:hint="default"/>
          <w:szCs w:val="24"/>
        </w:rPr>
        <w:t>Lt. Gen. Tadesse officially replaced Getachew Reda on 08 April 2025, following months of internal rifts within the Tigray People’s Liberation Front (TPLF). The divisions, which intensified after the TPLF’s 14th Congress in August 2024, reportedly led to a split between factions aligned with Debretsion Gebremichael and Getachew, culminating in the departure of Getachew and key allies from the region.</w:t>
      </w:r>
      <w:r>
        <w:rPr>
          <w:rFonts w:hint="default"/>
          <w:szCs w:val="24"/>
          <w:lang w:val="en-GB"/>
        </w:rPr>
        <w:t xml:space="preserve"> </w:t>
      </w:r>
      <w:r>
        <w:rPr>
          <w:rFonts w:hint="default"/>
          <w:szCs w:val="24"/>
        </w:rPr>
        <w:t>Prime Minister Abiy Ahmed described the leadership change as “the peaceful and formal implementation of a leadership transition program,” which he called “an important step toward cultivating a new political culture.”</w:t>
      </w:r>
      <w:r>
        <w:rPr>
          <w:rFonts w:hint="default"/>
          <w:szCs w:val="24"/>
          <w:lang w:val="en-GB"/>
        </w:rPr>
        <w:t xml:space="preserve"> </w:t>
      </w:r>
      <w:r>
        <w:rPr>
          <w:rFonts w:hint="default"/>
          <w:szCs w:val="24"/>
        </w:rPr>
        <w:t>During the handover ceremony, Lt. Gen. Tadesse signed a one-page document titled Inclusive Interim Administration of the Tigray Region Mission Implementation Agreement Document. The document outlines eight responsibilities for the interim administration and includes his signature along with a pledge to fulfill these responsibilities “with integrity and dedication.”</w:t>
      </w:r>
      <w:r>
        <w:rPr>
          <w:rFonts w:hint="default"/>
          <w:szCs w:val="24"/>
          <w:lang w:val="en-GB"/>
        </w:rPr>
        <w:t xml:space="preserve"> </w:t>
      </w:r>
      <w:r>
        <w:rPr>
          <w:rFonts w:hint="default"/>
          <w:szCs w:val="24"/>
        </w:rPr>
        <w:t>The eight key mandates include facilitating the full return of Internally Displaced Persons (IDPs) to their original places and accelerating similar processes in remaining areas; and ensuring the swift disarmament and reintegration of former combatants in line with the Pretoria Agreement.</w:t>
      </w:r>
      <w:r>
        <w:rPr>
          <w:rFonts w:hint="default"/>
          <w:szCs w:val="24"/>
          <w:lang w:val="en-GB"/>
        </w:rPr>
        <w:t xml:space="preserve"> </w:t>
      </w:r>
      <w:r>
        <w:rPr>
          <w:rFonts w:hint="default"/>
          <w:szCs w:val="24"/>
        </w:rPr>
        <w:t>According to his office, Lt. Gen. Tadesse, during his cabinet meeting today, stated that “the focus of all our work must be to fully implement the Pretoria Agreement,” referring to the Cessation of Hostilities Agreement (CoHA) signed in November 2022 between the federal government and the TPLF to end the two-year war in Tigray.</w:t>
      </w:r>
      <w:r>
        <w:rPr>
          <w:rFonts w:hint="default"/>
          <w:szCs w:val="24"/>
          <w:lang w:val="en-GB"/>
        </w:rPr>
        <w:t xml:space="preserve"> </w:t>
      </w:r>
      <w:r>
        <w:rPr>
          <w:rFonts w:hint="default"/>
          <w:szCs w:val="24"/>
        </w:rPr>
        <w:t>His office further quoted him as saying that “our time is very short,” urging all departments to “review plans for the next three months and clearly set out activities to be carried out within the next 12 months.”</w:t>
      </w:r>
      <w:r>
        <w:rPr>
          <w:rFonts w:hint="default"/>
          <w:szCs w:val="24"/>
          <w:lang w:val="en-GB"/>
        </w:rPr>
        <w:t xml:space="preserve"> </w:t>
      </w:r>
      <w:r>
        <w:rPr>
          <w:rFonts w:hint="default"/>
          <w:szCs w:val="24"/>
        </w:rPr>
        <w:t>The President’s office also said he identified ensuring “Tigray’s peace and security in a reliable manner,” revitalizing the economy, and improving governance as among the administration’s top priorities. He reportedly emphasized the need “to follow a direction that can bring expected results.”</w:t>
      </w:r>
      <w:r>
        <w:rPr>
          <w:rFonts w:hint="default"/>
          <w:szCs w:val="24"/>
          <w:lang w:val="en-GB"/>
        </w:rPr>
        <w:t xml:space="preserve"> </w:t>
      </w:r>
      <w:r>
        <w:rPr>
          <w:rFonts w:hint="default"/>
          <w:szCs w:val="24"/>
        </w:rPr>
        <w:t>President Tadesse also indicated that “there will be some adjustments to the interim administration’s leadership,” adding that “this will be implemented in a short time.”</w:t>
      </w:r>
      <w:r>
        <w:rPr>
          <w:rFonts w:hint="default"/>
          <w:szCs w:val="24"/>
          <w:lang w:val="en-GB"/>
        </w:rPr>
        <w:t xml:space="preserve"> </w:t>
      </w:r>
      <w:r>
        <w:rPr>
          <w:rFonts w:hint="default"/>
          <w:szCs w:val="24"/>
        </w:rPr>
        <w:t>Calling for unity among Tigrayans, the President was quoted as saying, “we must work together, setting aside our differences, to ensure that Tigray and its peoples’ future existence receives guarantee.” He further noted that “since there are no situations where one becomes winner and another loser… we must strengthen our unity as Tigrayans.”</w:t>
      </w:r>
      <w:r>
        <w:rPr>
          <w:rFonts w:hint="default"/>
          <w:szCs w:val="24"/>
          <w:lang w:val="en-GB"/>
        </w:rPr>
        <w:t xml:space="preserve"> </w:t>
      </w:r>
      <w:r>
        <w:rPr>
          <w:rFonts w:hint="default"/>
          <w:szCs w:val="24"/>
        </w:rPr>
        <w:t xml:space="preserve">He further explained that the “agenda” between the Tigray People’s Liberation Front (TPLF) and the Tigray Interim Administration must find a solution and come to an end. However, his office quoted him as saying that “the issue of Tigray and its peoples should be the agenda of all of us.” </w:t>
      </w:r>
    </w:p>
    <w:p w14:paraId="41265893">
      <w:pPr>
        <w:numPr>
          <w:ilvl w:val="0"/>
          <w:numId w:val="1"/>
        </w:numPr>
        <w:spacing w:line="276" w:lineRule="auto"/>
        <w:ind w:left="420" w:leftChars="0" w:hanging="420" w:firstLineChars="0"/>
        <w:rPr>
          <w:rFonts w:hint="default"/>
          <w:szCs w:val="24"/>
        </w:rPr>
      </w:pPr>
      <w:bookmarkStart w:id="3" w:name="_Toc8636"/>
      <w:r>
        <w:rPr>
          <w:rStyle w:val="15"/>
          <w:rFonts w:hint="default"/>
        </w:rPr>
        <w:t>EU says it attaches greater significance to its relationship with Ethiopia</w:t>
      </w:r>
      <w:r>
        <w:rPr>
          <w:rStyle w:val="15"/>
          <w:rFonts w:hint="default"/>
          <w:lang w:val="en-GB"/>
        </w:rPr>
        <w:t xml:space="preserve"> </w:t>
      </w:r>
      <w:bookmarkEnd w:id="3"/>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"https://www.fanamc.com/english/european-union-says-it-attaches-greater-significance-to-its-relationship-with-ethiopia/"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2D437F67">
      <w:pPr>
        <w:spacing w:line="276" w:lineRule="auto"/>
        <w:rPr>
          <w:rFonts w:hint="default"/>
          <w:szCs w:val="24"/>
        </w:rPr>
      </w:pPr>
      <w:r>
        <w:rPr>
          <w:rFonts w:hint="default"/>
          <w:szCs w:val="24"/>
        </w:rPr>
        <w:t>Ethiopia’s Minister of Foreign Affairs, Mr. Gedion Timothewos met with Simon Mordue, Deputy Secretary-General for Economic and Global Issues of the European External Action Service, at his office, MFA Ethiopia stated this morning.</w:t>
      </w:r>
      <w:r>
        <w:rPr>
          <w:rFonts w:hint="default"/>
          <w:szCs w:val="24"/>
          <w:lang w:val="en-GB"/>
        </w:rPr>
        <w:t xml:space="preserve"> </w:t>
      </w:r>
      <w:r>
        <w:rPr>
          <w:rFonts w:hint="default"/>
          <w:szCs w:val="24"/>
        </w:rPr>
        <w:t>FM Gedion underscored the importance of regular consultations to further strengthen the relationship between Ethiopia and the European Union.</w:t>
      </w:r>
      <w:r>
        <w:rPr>
          <w:rFonts w:hint="default"/>
          <w:szCs w:val="24"/>
          <w:lang w:val="en-GB"/>
        </w:rPr>
        <w:t xml:space="preserve"> </w:t>
      </w:r>
      <w:r>
        <w:rPr>
          <w:rFonts w:hint="default"/>
          <w:szCs w:val="24"/>
        </w:rPr>
        <w:t>He stressed the need to strengthen the Comprehensive Strategic Partnership Engagement Agreement signed between Ethiopia and the European Union in 2026.</w:t>
      </w:r>
      <w:r>
        <w:rPr>
          <w:rFonts w:hint="default"/>
          <w:szCs w:val="24"/>
          <w:lang w:val="en-GB"/>
        </w:rPr>
        <w:t xml:space="preserve"> </w:t>
      </w:r>
      <w:r>
        <w:rPr>
          <w:rFonts w:hint="default"/>
          <w:szCs w:val="24"/>
        </w:rPr>
        <w:t>The Minister also briefed the Deputy Secretary-General on key national and regional developments, emphasizing the importance of deepening cooperation on economic development cooperation, investment and regional peace and security.</w:t>
      </w:r>
      <w:r>
        <w:rPr>
          <w:rFonts w:hint="default"/>
          <w:szCs w:val="24"/>
          <w:lang w:val="en-GB"/>
        </w:rPr>
        <w:t xml:space="preserve"> </w:t>
      </w:r>
      <w:r>
        <w:rPr>
          <w:rFonts w:hint="default"/>
          <w:szCs w:val="24"/>
        </w:rPr>
        <w:t>For his part, Deputy Secretary-General Simon Mordou said the European Union attaches greater significance to its relationship with Ethiopia.</w:t>
      </w:r>
      <w:r>
        <w:rPr>
          <w:rFonts w:hint="default"/>
          <w:szCs w:val="24"/>
          <w:lang w:val="en-GB"/>
        </w:rPr>
        <w:t xml:space="preserve"> </w:t>
      </w:r>
      <w:r>
        <w:rPr>
          <w:rFonts w:hint="default"/>
          <w:szCs w:val="24"/>
        </w:rPr>
        <w:t>He added that the EU’s cooperation with Ethiopia, particularly in economic development, entrepreneurship, and investment, has regional benefits that extend beyond bilateral relations.</w:t>
      </w:r>
    </w:p>
    <w:p w14:paraId="6E31A0A3">
      <w:pPr>
        <w:numPr>
          <w:ilvl w:val="0"/>
          <w:numId w:val="1"/>
        </w:numPr>
        <w:spacing w:line="276" w:lineRule="auto"/>
        <w:ind w:left="420" w:leftChars="0" w:hanging="420" w:firstLineChars="0"/>
        <w:rPr>
          <w:rFonts w:hint="default"/>
          <w:szCs w:val="24"/>
        </w:rPr>
      </w:pPr>
      <w:bookmarkStart w:id="4" w:name="_Toc25931"/>
      <w:r>
        <w:rPr>
          <w:rStyle w:val="15"/>
          <w:rFonts w:hint="default"/>
        </w:rPr>
        <w:t>PM Abiy receives a message from President Samia Suluhu of Tanzania</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"https://www.fanamc.com/english/pm-abiy-receives-a-message-from-president-samia-suluhu-of-tanzania/"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2A5DA200">
      <w:pPr>
        <w:spacing w:line="276" w:lineRule="auto"/>
        <w:rPr>
          <w:rFonts w:hint="default"/>
          <w:szCs w:val="24"/>
        </w:rPr>
      </w:pPr>
      <w:r>
        <w:rPr>
          <w:rFonts w:hint="default"/>
          <w:szCs w:val="24"/>
        </w:rPr>
        <w:t>Prime Minister Abiy Ahmed received Dr. Jakaya Mrisho Kikwete, Former President of the United Republic of Tanzania and Special Envoy of Dr. Samia Suluhu Hassan, President of the United Republic of Tanzania, at the PM Office this morning.</w:t>
      </w:r>
      <w:r>
        <w:rPr>
          <w:rFonts w:hint="default"/>
          <w:szCs w:val="24"/>
          <w:lang w:val="en-GB"/>
        </w:rPr>
        <w:t xml:space="preserve"> </w:t>
      </w:r>
      <w:r>
        <w:rPr>
          <w:rFonts w:hint="default"/>
          <w:szCs w:val="24"/>
        </w:rPr>
        <w:t>In a social media post, PM Abiy Ahmed confirmed that he received “a special message” from President Samia Suluhu.</w:t>
      </w:r>
    </w:p>
    <w:p w14:paraId="6092C6DF">
      <w:pPr>
        <w:numPr>
          <w:ilvl w:val="0"/>
          <w:numId w:val="1"/>
        </w:numPr>
        <w:spacing w:line="276" w:lineRule="auto"/>
        <w:ind w:left="420" w:leftChars="0" w:hanging="420" w:firstLineChars="0"/>
        <w:rPr>
          <w:rFonts w:hint="default"/>
          <w:szCs w:val="24"/>
        </w:rPr>
      </w:pPr>
      <w:bookmarkStart w:id="5" w:name="_Toc32635"/>
      <w:r>
        <w:rPr>
          <w:rStyle w:val="15"/>
          <w:rFonts w:hint="default"/>
        </w:rPr>
        <w:t>Ethiopia, Germany discuss strengthening dev’t cooperation and future collaboration</w:t>
      </w:r>
      <w:bookmarkEnd w:id="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"https://www.fanamc.com/english/ethiopia-germany-discuss-strengthening-devt-cooperation-and-future-collaboration/"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42BF363F">
      <w:pPr>
        <w:spacing w:line="276" w:lineRule="auto"/>
        <w:rPr>
          <w:rFonts w:hint="default"/>
          <w:szCs w:val="24"/>
        </w:rPr>
      </w:pPr>
      <w:r>
        <w:rPr>
          <w:rFonts w:hint="default"/>
          <w:szCs w:val="24"/>
        </w:rPr>
        <w:t>High-level representatives from Ethiopia and Germany convened for a pivotal meeting aimed at reinforcing their long-standing development cooperation and exploring future avenues of collaboration.</w:t>
      </w:r>
      <w:r>
        <w:rPr>
          <w:rFonts w:hint="default"/>
          <w:szCs w:val="24"/>
          <w:lang w:val="en-GB"/>
        </w:rPr>
        <w:t xml:space="preserve"> </w:t>
      </w:r>
      <w:r>
        <w:rPr>
          <w:rFonts w:hint="default"/>
          <w:szCs w:val="24"/>
        </w:rPr>
        <w:t>The German delegation included Marie Strohe, Senior Policy Advisor at the Federal Ministry of Economic Cooperation and Development (BMZ); Benjamin Tedla Hecker, Head of Development Cooperation at the German Embassy; and Carlotta Preiss, Deputy Head of Development Cooperation and First Secretary.</w:t>
      </w:r>
      <w:r>
        <w:rPr>
          <w:rFonts w:hint="default"/>
          <w:szCs w:val="24"/>
          <w:lang w:val="en-GB"/>
        </w:rPr>
        <w:t xml:space="preserve"> </w:t>
      </w:r>
      <w:r>
        <w:rPr>
          <w:rFonts w:hint="default"/>
          <w:szCs w:val="24"/>
        </w:rPr>
        <w:t>The meeting underscored the strong and multifaceted partnership between the two countries. Strohe, recently appointed to the East Africa team, shared her positive impressions of Germany’s development initiatives across Ethiopia.</w:t>
      </w:r>
      <w:r>
        <w:rPr>
          <w:rFonts w:hint="default"/>
          <w:szCs w:val="24"/>
          <w:lang w:val="en-GB"/>
        </w:rPr>
        <w:t xml:space="preserve"> </w:t>
      </w:r>
      <w:r>
        <w:rPr>
          <w:rFonts w:hint="default"/>
          <w:szCs w:val="24"/>
        </w:rPr>
        <w:t>In the area of agriculture and food security, both sides acknowledged Germany’s significant role—particularly in enhancing agricultural productivity. Strohe highlighted her visits to projects in Arba-Minch and Asella, where Germany supports seed multiplication initiatives contributing to the rehabilitation of Lake Chamo and the enhancement of local food production.</w:t>
      </w:r>
      <w:r>
        <w:rPr>
          <w:rFonts w:hint="default"/>
          <w:szCs w:val="24"/>
          <w:lang w:val="en-GB"/>
        </w:rPr>
        <w:t xml:space="preserve"> </w:t>
      </w:r>
      <w:r>
        <w:rPr>
          <w:rFonts w:hint="default"/>
          <w:szCs w:val="24"/>
        </w:rPr>
        <w:t>With food security remaining a major challenge, Germany reaffirmed its commitment to strengthening Ethiopia’s food systems.</w:t>
      </w:r>
      <w:r>
        <w:rPr>
          <w:rFonts w:hint="default"/>
          <w:szCs w:val="24"/>
          <w:lang w:val="en-GB"/>
        </w:rPr>
        <w:t xml:space="preserve"> </w:t>
      </w:r>
      <w:r>
        <w:rPr>
          <w:rFonts w:hint="default"/>
          <w:szCs w:val="24"/>
        </w:rPr>
        <w:t>Ethiopia’s Finance State Minister Ms. Semereta Sewasew emphasized the importance of the Productive Safety Net Programme (PSNP) in cushioning vulnerable populations from the impacts of economic reforms. Strohe reaffirmed Germany’s strong support for Ethiopia’s social protection mechanisms.</w:t>
      </w:r>
      <w:r>
        <w:rPr>
          <w:rFonts w:hint="default"/>
          <w:szCs w:val="24"/>
          <w:lang w:val="en-GB"/>
        </w:rPr>
        <w:t xml:space="preserve"> </w:t>
      </w:r>
      <w:r>
        <w:rPr>
          <w:rFonts w:hint="default"/>
          <w:szCs w:val="24"/>
        </w:rPr>
        <w:t>Governance and transitional justice also featured prominently in the discussions. The German delegation reiterated their support for Ethiopia’s transitional justice process, highlighting its significance for national stability and international cooperation.</w:t>
      </w:r>
      <w:r>
        <w:rPr>
          <w:rFonts w:hint="default"/>
          <w:szCs w:val="24"/>
          <w:lang w:val="en-GB"/>
        </w:rPr>
        <w:t xml:space="preserve"> </w:t>
      </w:r>
      <w:r>
        <w:rPr>
          <w:rFonts w:hint="default"/>
          <w:szCs w:val="24"/>
        </w:rPr>
        <w:t>While the policy direction of the newly formed German government is still taking shape, the delegation expressed a continued interest in maintaining and deepening the partnership.</w:t>
      </w:r>
      <w:r>
        <w:rPr>
          <w:rFonts w:hint="default"/>
          <w:szCs w:val="24"/>
          <w:lang w:val="en-GB"/>
        </w:rPr>
        <w:t xml:space="preserve"> </w:t>
      </w:r>
      <w:r>
        <w:rPr>
          <w:rFonts w:hint="default"/>
          <w:szCs w:val="24"/>
        </w:rPr>
        <w:t>They acknowledged existing commitments to budget support and outlined the parliamentary processes underway, with expected developments later in the year.</w:t>
      </w:r>
      <w:r>
        <w:rPr>
          <w:rFonts w:hint="default"/>
          <w:szCs w:val="24"/>
          <w:lang w:val="en-GB"/>
        </w:rPr>
        <w:t xml:space="preserve"> </w:t>
      </w:r>
      <w:r>
        <w:rPr>
          <w:rFonts w:hint="default"/>
          <w:szCs w:val="24"/>
        </w:rPr>
        <w:t>In addition, Germany extended an invitation to Ethiopia to participate in the upcoming Hamburg Sustainability Conference in Berlin, scheduled for July.</w:t>
      </w:r>
      <w:r>
        <w:rPr>
          <w:rFonts w:hint="default"/>
          <w:szCs w:val="24"/>
          <w:lang w:val="en-GB"/>
        </w:rPr>
        <w:t xml:space="preserve"> </w:t>
      </w:r>
      <w:r>
        <w:rPr>
          <w:rFonts w:hint="default"/>
          <w:szCs w:val="24"/>
        </w:rPr>
        <w:t>The German side emphasized the significance of Ethiopian representation at this high-level event and requested clarity regarding the level of participation the Ethiopian government intends to provide.</w:t>
      </w:r>
      <w:r>
        <w:rPr>
          <w:rFonts w:hint="default"/>
          <w:szCs w:val="24"/>
          <w:lang w:val="en-GB"/>
        </w:rPr>
        <w:t xml:space="preserve"> </w:t>
      </w:r>
      <w:r>
        <w:rPr>
          <w:rFonts w:hint="default"/>
          <w:szCs w:val="24"/>
        </w:rPr>
        <w:t>The meeting concluded with a shared sense of commitment to enhancing the bilateral relationship.</w:t>
      </w:r>
      <w:r>
        <w:rPr>
          <w:rFonts w:hint="default"/>
          <w:szCs w:val="24"/>
          <w:lang w:val="en-GB"/>
        </w:rPr>
        <w:t xml:space="preserve"> </w:t>
      </w:r>
      <w:r>
        <w:rPr>
          <w:rFonts w:hint="default"/>
          <w:szCs w:val="24"/>
        </w:rPr>
        <w:t>Both sides expressed enthusiasm for ongoing collaboration and the exploration of new opportunities in line with evolving national priorities and international development goals to be discussed in the upcoming governmental negotiations.</w:t>
      </w:r>
    </w:p>
    <w:p w14:paraId="3431172A">
      <w:pPr>
        <w:numPr>
          <w:ilvl w:val="0"/>
          <w:numId w:val="1"/>
        </w:numPr>
        <w:spacing w:line="276" w:lineRule="auto"/>
        <w:ind w:left="420" w:leftChars="0" w:hanging="420" w:firstLineChars="0"/>
        <w:rPr>
          <w:rFonts w:hint="default"/>
          <w:szCs w:val="24"/>
        </w:rPr>
      </w:pPr>
      <w:bookmarkStart w:id="6" w:name="_Toc27969"/>
      <w:r>
        <w:rPr>
          <w:rStyle w:val="15"/>
          <w:rFonts w:hint="default"/>
        </w:rPr>
        <w:t>UAE reaffirms continued cooperation with AU</w:t>
      </w:r>
      <w:bookmarkEnd w:id="6"/>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"https://www.fanamc.com/english/uae-reaffirms-continued-cooperation-with-the-african-union75266-2/"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554C92DF">
      <w:pPr>
        <w:spacing w:line="276" w:lineRule="auto"/>
        <w:rPr>
          <w:rFonts w:hint="default"/>
          <w:szCs w:val="24"/>
        </w:rPr>
      </w:pPr>
      <w:r>
        <w:rPr>
          <w:rFonts w:hint="default"/>
          <w:szCs w:val="24"/>
        </w:rPr>
        <w:t>The United Arab Emirates (UAE) has reiterated its commitment to maintain its partnership with the African Union (AU).</w:t>
      </w:r>
      <w:r>
        <w:rPr>
          <w:rFonts w:hint="default"/>
          <w:szCs w:val="24"/>
          <w:lang w:val="en-GB"/>
        </w:rPr>
        <w:t xml:space="preserve"> </w:t>
      </w:r>
      <w:r>
        <w:rPr>
          <w:rFonts w:hint="default"/>
          <w:szCs w:val="24"/>
        </w:rPr>
        <w:t>Deepening collaboration between both sides was one of the main discussion points during a meeting between the Chairperson of the African Union Commission (AUC), Mahmoud Ali Youssouf, and the Ambassador of the UAE to Ethiopia, according to AU’s press note issued today.</w:t>
      </w:r>
      <w:r>
        <w:rPr>
          <w:rFonts w:hint="default"/>
          <w:szCs w:val="24"/>
          <w:lang w:val="en-GB"/>
        </w:rPr>
        <w:t xml:space="preserve"> </w:t>
      </w:r>
      <w:r>
        <w:rPr>
          <w:rFonts w:hint="default"/>
          <w:szCs w:val="24"/>
        </w:rPr>
        <w:t>On the occasion, the AUC Chairperson and the Ambassador also explored ways of enhancing UAE investments in key sectors across Africa.</w:t>
      </w:r>
      <w:r>
        <w:rPr>
          <w:rFonts w:hint="default"/>
          <w:szCs w:val="24"/>
          <w:lang w:val="en-GB"/>
        </w:rPr>
        <w:t xml:space="preserve"> </w:t>
      </w:r>
      <w:r>
        <w:rPr>
          <w:rFonts w:hint="default"/>
          <w:szCs w:val="24"/>
        </w:rPr>
        <w:t>The Chairperson appealed for the UAE’s support for AU-led peace and stabilisation initiatives.</w:t>
      </w:r>
      <w:r>
        <w:rPr>
          <w:rFonts w:hint="default"/>
          <w:szCs w:val="24"/>
          <w:lang w:val="en-GB"/>
        </w:rPr>
        <w:t xml:space="preserve"> </w:t>
      </w:r>
      <w:r>
        <w:rPr>
          <w:rFonts w:hint="default"/>
          <w:szCs w:val="24"/>
        </w:rPr>
        <w:t>For his part, Ambassador Al-Rashedi reaffirmed the UAE’s continued commitment to AU-UAE cooperation.</w:t>
      </w:r>
      <w:r>
        <w:rPr>
          <w:rFonts w:hint="default"/>
          <w:szCs w:val="24"/>
          <w:lang w:val="en-GB"/>
        </w:rPr>
        <w:t xml:space="preserve"> </w:t>
      </w:r>
      <w:r>
        <w:rPr>
          <w:rFonts w:hint="default"/>
          <w:szCs w:val="24"/>
        </w:rPr>
        <w:t>The Ambassador also conveyed a formal invitation from his government for the AUC Chairperson to visit the UAE.</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7" w:name="_Toc28190"/>
      <w:r>
        <w:rPr>
          <w:rFonts w:eastAsia="DengXian Light" w:cs="Times New Roman"/>
          <w:b/>
          <w:bCs/>
          <w:color w:val="2F5496"/>
          <w:szCs w:val="24"/>
          <w:u w:val="single"/>
        </w:rPr>
        <w:t>Horn of Africa</w:t>
      </w:r>
      <w:bookmarkEnd w:id="7"/>
    </w:p>
    <w:p w14:paraId="2226F01F">
      <w:pPr>
        <w:pStyle w:val="3"/>
      </w:pPr>
      <w:bookmarkStart w:id="8" w:name="_Toc20333"/>
      <w:r>
        <w:t>Somalia</w:t>
      </w:r>
      <w:bookmarkEnd w:id="8"/>
    </w:p>
    <w:p w14:paraId="415D31C3">
      <w:pPr>
        <w:numPr>
          <w:ilvl w:val="0"/>
          <w:numId w:val="1"/>
        </w:numPr>
        <w:ind w:left="420" w:leftChars="0" w:hanging="420" w:firstLineChars="0"/>
        <w:rPr>
          <w:rFonts w:hint="default"/>
          <w:szCs w:val="24"/>
        </w:rPr>
      </w:pPr>
      <w:bookmarkStart w:id="9" w:name="_Toc30844"/>
      <w:r>
        <w:rPr>
          <w:rStyle w:val="15"/>
          <w:rFonts w:hint="default"/>
        </w:rPr>
        <w:t>Somali President arrives in Turkey to attend to Antalya Diplomacy Forum</w:t>
      </w:r>
      <w:bookmarkEnd w:id="9"/>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"https://www.hiiraan.com/news4/2025/Apr/201078/somali_president_arrives_in_turkey_to_attend_to_antalya_diplomacy_forum.aspx?utm_source=hiiraan&amp;utm_medium=SomaliNewsUpdateFront"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47326B82">
      <w:pPr>
        <w:rPr>
          <w:rFonts w:hint="default"/>
          <w:szCs w:val="24"/>
          <w:lang w:val="en-GB"/>
        </w:rPr>
      </w:pPr>
      <w:r>
        <w:rPr>
          <w:rFonts w:hint="default"/>
          <w:szCs w:val="24"/>
        </w:rPr>
        <w:t>Somali President Hassan Sheikh Mohamud arrived in Antalya on Thursday night to attend the 4th Antalya Diplomacy Forum (ADF), which officially opened Friday and will run through April 13 under the theme “Reclaiming Diplomacy in a Fragmented World.”</w:t>
      </w:r>
      <w:r>
        <w:rPr>
          <w:rFonts w:hint="default"/>
          <w:szCs w:val="24"/>
          <w:lang w:val="en-GB"/>
        </w:rPr>
        <w:t xml:space="preserve">  </w:t>
      </w:r>
      <w:r>
        <w:rPr>
          <w:rFonts w:hint="default"/>
          <w:szCs w:val="24"/>
        </w:rPr>
        <w:t>Presidential Spokesperson Abdirahman Adam Ali confirmed that President Mohamud will deliver a keynote address during the conference and hold bilateral meetings with world leaders on the sidelines of the event.</w:t>
      </w:r>
      <w:r>
        <w:rPr>
          <w:rFonts w:hint="default"/>
          <w:szCs w:val="24"/>
          <w:lang w:val="en-GB"/>
        </w:rPr>
        <w:t xml:space="preserve"> </w:t>
      </w:r>
      <w:r>
        <w:rPr>
          <w:rFonts w:hint="default"/>
          <w:szCs w:val="24"/>
        </w:rPr>
        <w:t>“The President will highlight Somalia’s diplomatic progress, economic priorities, and its expanding engagement with the international community, especially Turkey,” the spokesperson said.</w:t>
      </w:r>
      <w:r>
        <w:rPr>
          <w:rFonts w:hint="default"/>
          <w:szCs w:val="24"/>
          <w:lang w:val="en-GB"/>
        </w:rPr>
        <w:t xml:space="preserve"> </w:t>
      </w:r>
      <w:r>
        <w:rPr>
          <w:rFonts w:hint="default"/>
          <w:szCs w:val="24"/>
        </w:rPr>
        <w:t>The ADF, hosted by Turkish President Recep Tayyip Erdoğan, brings together heads of state, diplomats, scholars, and policy-makers to explore global and regional challenges, focusing on diplomacy and conflict resolution.</w:t>
      </w:r>
      <w:r>
        <w:rPr>
          <w:rFonts w:hint="default"/>
          <w:szCs w:val="24"/>
          <w:lang w:val="en-GB"/>
        </w:rPr>
        <w:t xml:space="preserve"> </w:t>
      </w:r>
      <w:r>
        <w:rPr>
          <w:rFonts w:hint="default"/>
          <w:szCs w:val="24"/>
        </w:rPr>
        <w:t>President Mohamud is expected to discuss Somalia’s ongoing stabilization and state-building efforts, the Federal Government’s foreign policy agenda, strengthening bilateral ties between Somalia and Turkey, especially in security, trade, and infrastructure, and regional dynamics in the Horn of Africa.</w:t>
      </w:r>
      <w:r>
        <w:rPr>
          <w:rFonts w:hint="default"/>
          <w:szCs w:val="24"/>
          <w:lang w:val="en-GB"/>
        </w:rPr>
        <w:t xml:space="preserve"> </w:t>
      </w:r>
      <w:r>
        <w:rPr>
          <w:rFonts w:hint="default"/>
          <w:szCs w:val="24"/>
        </w:rPr>
        <w:t>The Antalya Diplomacy Forum, first held in 2021, has become a key venue for global dialogue. This year’s notable attendees include Azerbaijani President Ilham Aliyev, Libyan Prime Minister Abdul Hamid Dbeibah, Hungarian Prime Minister Viktor Orbán, Iranian Foreign Minister Abbas Araghchi, and others</w:t>
      </w:r>
      <w:r>
        <w:rPr>
          <w:rFonts w:hint="default"/>
          <w:szCs w:val="24"/>
          <w:lang w:val="en-GB"/>
        </w:rPr>
        <w:t>.</w:t>
      </w:r>
    </w:p>
    <w:p w14:paraId="22ED441D">
      <w:pPr>
        <w:numPr>
          <w:ilvl w:val="0"/>
          <w:numId w:val="1"/>
        </w:numPr>
        <w:ind w:left="420" w:leftChars="0" w:hanging="420" w:firstLineChars="0"/>
        <w:rPr>
          <w:rFonts w:hint="default"/>
          <w:szCs w:val="24"/>
          <w:lang w:val="en-GB"/>
        </w:rPr>
      </w:pPr>
      <w:bookmarkStart w:id="10" w:name="_Toc27721"/>
      <w:r>
        <w:rPr>
          <w:rStyle w:val="15"/>
          <w:rFonts w:hint="default"/>
          <w:lang w:val="en-GB"/>
        </w:rPr>
        <w:t>Somalia, Arab League discuss bilateral cooperation</w:t>
      </w:r>
      <w:bookmarkEnd w:id="10"/>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"https://www.hiiraan.com/news4/2025/Apr/201073/somalia_arab_league_discuss_bilateral_cooperation.aspx?utm_source=hiiraan&amp;utm_medium=SomaliNewsUpdateFront"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10359134">
      <w:pPr>
        <w:rPr>
          <w:rFonts w:hint="default"/>
          <w:szCs w:val="24"/>
          <w:lang w:val="en-GB"/>
        </w:rPr>
      </w:pPr>
      <w:r>
        <w:rPr>
          <w:rFonts w:hint="default"/>
          <w:szCs w:val="24"/>
          <w:lang w:val="en-GB"/>
        </w:rPr>
        <w:t>Hamsa Abdi Barre, the Prime Minister of the Federal Republic of Somalia, met with Ambassador Abdullah Al Otaibi, Head of the Arab League Mission to Somalia, to discuss means to enhance joint cooperation, particularly in political and economic domains. According to the Somali National News Agency (SONNA), Prime Minister Barre noted that his government has achieved significant progress across various areas and highlighted promising investment opportunities in Somalia. He called on Arab League member states to invest in vital sectors, notably livestock, agriculture, fisheries, energy, petroleum, and minerals. Ambassador Al Otaibi emphasised the importance of an Arab League initiative aimed at promoting Arabic language education in Somalia, highlighting that the country is a Muslim nation, a member of the League, and that Arabic is recognised as the second official language in its constitution.</w:t>
      </w:r>
    </w:p>
    <w:p w14:paraId="287E5054">
      <w:r>
        <w:rPr>
          <w:szCs w:val="24"/>
        </w:rPr>
        <w:t>________________________________________________________________________</w:t>
      </w:r>
    </w:p>
    <w:p w14:paraId="10DC5F8A">
      <w:pPr>
        <w:pStyle w:val="3"/>
        <w:spacing w:line="276" w:lineRule="auto"/>
        <w:rPr>
          <w:szCs w:val="24"/>
        </w:rPr>
      </w:pPr>
      <w:bookmarkStart w:id="11" w:name="_Toc549"/>
      <w:r>
        <w:rPr>
          <w:szCs w:val="24"/>
        </w:rPr>
        <w:t>Sudan</w:t>
      </w:r>
      <w:bookmarkEnd w:id="11"/>
      <w:r>
        <w:rPr>
          <w:szCs w:val="24"/>
        </w:rPr>
        <w:t xml:space="preserve"> </w:t>
      </w:r>
    </w:p>
    <w:p w14:paraId="4835DABE">
      <w:pPr>
        <w:numPr>
          <w:ilvl w:val="0"/>
          <w:numId w:val="1"/>
        </w:numPr>
        <w:spacing w:line="276" w:lineRule="auto"/>
        <w:ind w:left="420" w:leftChars="0" w:hanging="420" w:firstLineChars="0"/>
        <w:rPr>
          <w:rFonts w:hint="default"/>
        </w:rPr>
      </w:pPr>
      <w:bookmarkStart w:id="12" w:name="_Toc29241"/>
      <w:r>
        <w:rPr>
          <w:rStyle w:val="15"/>
          <w:rFonts w:hint="default"/>
        </w:rPr>
        <w:t>Sudan’s Burhan discusses conflict, ties with Eritrean president in Asmara</w:t>
      </w:r>
      <w:bookmarkEnd w:id="12"/>
      <w:r>
        <w:rPr>
          <w:rFonts w:hint="default"/>
          <w:lang w:val="en-GB"/>
        </w:rPr>
        <w:t xml:space="preserve"> - </w:t>
      </w:r>
      <w:r>
        <w:rPr>
          <w:rFonts w:hint="default"/>
          <w:lang w:val="en-GB"/>
        </w:rPr>
        <w:fldChar w:fldCharType="begin"/>
      </w:r>
      <w:r>
        <w:rPr>
          <w:rFonts w:hint="default"/>
          <w:lang w:val="en-GB"/>
        </w:rPr>
        <w:instrText xml:space="preserve"> HYPERLINK "https://sudantribune.com/article299589/" </w:instrText>
      </w:r>
      <w:r>
        <w:rPr>
          <w:rFonts w:hint="default"/>
          <w:lang w:val="en-GB"/>
        </w:rPr>
        <w:fldChar w:fldCharType="separate"/>
      </w:r>
      <w:r>
        <w:rPr>
          <w:rStyle w:val="10"/>
          <w:rFonts w:hint="default"/>
          <w:lang w:val="en-GB"/>
        </w:rPr>
        <w:t>Sudan Tribune</w:t>
      </w:r>
      <w:r>
        <w:rPr>
          <w:rFonts w:hint="default"/>
          <w:lang w:val="en-GB"/>
        </w:rPr>
        <w:fldChar w:fldCharType="end"/>
      </w:r>
    </w:p>
    <w:p w14:paraId="1A66B1E7">
      <w:pPr>
        <w:spacing w:line="276" w:lineRule="auto"/>
        <w:rPr>
          <w:rFonts w:hint="default"/>
        </w:rPr>
      </w:pPr>
      <w:r>
        <w:rPr>
          <w:rFonts w:hint="default"/>
        </w:rPr>
        <w:t>Sudan’s military leader, General Abdel Fattah al-Burhan, visited the Eritrean capital Asmara on Thursday for talks with President Isaias Afwerki focused on the ongoing conflict in Sudan and bilateral relations.</w:t>
      </w:r>
      <w:r>
        <w:rPr>
          <w:rFonts w:hint="default"/>
          <w:lang w:val="en-GB"/>
        </w:rPr>
        <w:t xml:space="preserve"> </w:t>
      </w:r>
      <w:r>
        <w:rPr>
          <w:rFonts w:hint="default"/>
        </w:rPr>
        <w:t>Sudan’s Sovereignty Council said in a statement the two leaders held talks at the presidential palace. The discussions addressed bilateral ties, joint cooperation, the situation in Sudan, peace efforts, and regional and international issues, the council added.</w:t>
      </w:r>
      <w:r>
        <w:rPr>
          <w:rFonts w:hint="default"/>
          <w:lang w:val="en-GB"/>
        </w:rPr>
        <w:t xml:space="preserve"> </w:t>
      </w:r>
      <w:r>
        <w:rPr>
          <w:rFonts w:hint="default"/>
        </w:rPr>
        <w:t>According to the Sudanese statement, Burhan said the visit aimed to brief the Eritrean leadership on developments in Sudan and thanked Eritrea for supporting Sudan’s unity.</w:t>
      </w:r>
      <w:r>
        <w:rPr>
          <w:rFonts w:hint="default"/>
          <w:lang w:val="en-GB"/>
        </w:rPr>
        <w:t xml:space="preserve"> </w:t>
      </w:r>
      <w:r>
        <w:rPr>
          <w:rFonts w:hint="default"/>
        </w:rPr>
        <w:t>Burhan also told the Eritrean News Agency his one-day working visit was “principally aimed at briefing the Eritrean leadership on recent developments of the conflict in Sudan,” Eritrea’s information ministry reported. He also “paid tribute to the substantial and continuous support extended by the Government and people of Eritrea to the people of Sudan,” the ministry added.</w:t>
      </w:r>
      <w:r>
        <w:rPr>
          <w:rFonts w:hint="default"/>
          <w:lang w:val="en-GB"/>
        </w:rPr>
        <w:t xml:space="preserve"> </w:t>
      </w:r>
      <w:r>
        <w:rPr>
          <w:rFonts w:hint="default"/>
        </w:rPr>
        <w:t>President Afwerki thanked Burhan for the visit, the Sudanese statement said. Eritrea’s information ministry further reported that Afwerki reaffirmed Eritrean support for the “brotherly people of Sudan emanates from solid principles and moral obligations.”</w:t>
      </w:r>
      <w:r>
        <w:rPr>
          <w:rFonts w:hint="default"/>
          <w:lang w:val="en-GB"/>
        </w:rPr>
        <w:t xml:space="preserve"> </w:t>
      </w:r>
      <w:r>
        <w:rPr>
          <w:rFonts w:hint="default"/>
        </w:rPr>
        <w:t>Afwerki urged regional support for “the achievement of an enduring peaceful solution to the conflict without the encumbrance and exacerbation of external intervention,” the Eritrean ministry stated.</w:t>
      </w:r>
      <w:r>
        <w:rPr>
          <w:rFonts w:hint="default"/>
          <w:lang w:val="en-GB"/>
        </w:rPr>
        <w:t xml:space="preserve"> </w:t>
      </w:r>
      <w:r>
        <w:rPr>
          <w:rFonts w:hint="default"/>
        </w:rPr>
        <w:t>Burhan was accompanied on the visit by Ahmed Ibrahim Mufaddal, the director of Sudan’s General Intelligence Service.</w:t>
      </w:r>
      <w:r>
        <w:rPr>
          <w:rFonts w:hint="default"/>
          <w:lang w:val="en-GB"/>
        </w:rPr>
        <w:t xml:space="preserve"> </w:t>
      </w:r>
      <w:r>
        <w:rPr>
          <w:rFonts w:hint="default"/>
        </w:rPr>
        <w:t>Since the start of the conflict between the Sudanese army and the paramilitary Rapid Support Forces (RSF), Eritrea expressed support for the Sudanese military and opened its border to refugees fleeing the fighting.</w:t>
      </w:r>
    </w:p>
    <w:p w14:paraId="2DBA1533">
      <w:pPr>
        <w:numPr>
          <w:ilvl w:val="0"/>
          <w:numId w:val="1"/>
        </w:numPr>
        <w:spacing w:line="276" w:lineRule="auto"/>
        <w:ind w:left="420" w:leftChars="0" w:hanging="420" w:firstLineChars="0"/>
        <w:rPr>
          <w:rFonts w:hint="default"/>
        </w:rPr>
      </w:pPr>
      <w:bookmarkStart w:id="13" w:name="_Toc15541"/>
      <w:r>
        <w:rPr>
          <w:rStyle w:val="15"/>
          <w:rFonts w:hint="default"/>
        </w:rPr>
        <w:t>EU pledges 282.5 mln euros for Sudan crisis aid</w:t>
      </w:r>
      <w:r>
        <w:rPr>
          <w:rStyle w:val="15"/>
          <w:rFonts w:hint="default"/>
          <w:lang w:val="en-GB"/>
        </w:rPr>
        <w:t xml:space="preserve"> </w:t>
      </w:r>
      <w:bookmarkEnd w:id="13"/>
      <w:r>
        <w:rPr>
          <w:rFonts w:hint="default"/>
          <w:lang w:val="en-GB"/>
        </w:rPr>
        <w:t xml:space="preserve">- </w:t>
      </w:r>
      <w:r>
        <w:rPr>
          <w:rFonts w:hint="default"/>
          <w:lang w:val="en-GB"/>
        </w:rPr>
        <w:fldChar w:fldCharType="begin"/>
      </w:r>
      <w:r>
        <w:rPr>
          <w:rFonts w:hint="default"/>
          <w:lang w:val="en-GB"/>
        </w:rPr>
        <w:instrText xml:space="preserve"> HYPERLINK "https://sudantribune.com/article299587/" </w:instrText>
      </w:r>
      <w:r>
        <w:rPr>
          <w:rFonts w:hint="default"/>
          <w:lang w:val="en-GB"/>
        </w:rPr>
        <w:fldChar w:fldCharType="separate"/>
      </w:r>
      <w:r>
        <w:rPr>
          <w:rStyle w:val="10"/>
          <w:rFonts w:hint="default"/>
          <w:lang w:val="en-GB"/>
        </w:rPr>
        <w:t>Sudan Tribune</w:t>
      </w:r>
      <w:r>
        <w:rPr>
          <w:rFonts w:hint="default"/>
          <w:lang w:val="en-GB"/>
        </w:rPr>
        <w:fldChar w:fldCharType="end"/>
      </w:r>
    </w:p>
    <w:p w14:paraId="6ACA4E25">
      <w:pPr>
        <w:spacing w:line="276" w:lineRule="auto"/>
        <w:rPr>
          <w:rFonts w:hint="default"/>
        </w:rPr>
      </w:pPr>
      <w:r>
        <w:rPr>
          <w:rFonts w:hint="default"/>
        </w:rPr>
        <w:t>The European Commission on Thursday announced 282.5 million euros ($305 million) in humanitarian aid to support people affected by the conflict in Sudan and those who have fled to neighbouring countries, particularly Chad.</w:t>
      </w:r>
      <w:r>
        <w:rPr>
          <w:rFonts w:hint="default"/>
          <w:lang w:val="en-GB"/>
        </w:rPr>
        <w:t xml:space="preserve"> </w:t>
      </w:r>
      <w:r>
        <w:rPr>
          <w:rFonts w:hint="default"/>
        </w:rPr>
        <w:t>The funding aims to address the needs of vulnerable populations facing displacement and severe food insecurity, the EU’s executive body said in a statement.</w:t>
      </w:r>
      <w:r>
        <w:rPr>
          <w:rFonts w:hint="default"/>
          <w:lang w:val="en-GB"/>
        </w:rPr>
        <w:t xml:space="preserve"> </w:t>
      </w:r>
      <w:r>
        <w:rPr>
          <w:rFonts w:hint="default"/>
        </w:rPr>
        <w:t>Of the total, 160 million euros is allocated for Sudan, focusing on regions severely impacted by conflict and facing potential famine conditions. Aid will include cash assistance, healthcare, nutrition services, water, sanitation, shelter, protection and education.</w:t>
      </w:r>
      <w:r>
        <w:rPr>
          <w:rFonts w:hint="default"/>
          <w:lang w:val="en-GB"/>
        </w:rPr>
        <w:t xml:space="preserve"> </w:t>
      </w:r>
      <w:r>
        <w:rPr>
          <w:rFonts w:hint="default"/>
        </w:rPr>
        <w:t>Chad, which hosts over 1.1 million Sudanese refugees among more than 1.3 million displaced people overall, will receive 74.5 million euros. This funding targets the response to the influx of Sudanese refugees and returnees in the east, as well as the crisis in the Lake Chad province, covering food, nutrition, protection, health, sanitation, shelter and education.</w:t>
      </w:r>
      <w:r>
        <w:rPr>
          <w:rFonts w:hint="default"/>
          <w:lang w:val="en-GB"/>
        </w:rPr>
        <w:t xml:space="preserve"> </w:t>
      </w:r>
      <w:r>
        <w:rPr>
          <w:rFonts w:hint="default"/>
        </w:rPr>
        <w:t>A further 48 million euros will support refugees, returnees and host communities in South Sudan, Ethiopia, Egypt and Libya dealing with the spillover effects of the crisis. Neighbouring countries have absorbed nearly 4 million people fleeing Sudan, according to the Commission.</w:t>
      </w:r>
      <w:r>
        <w:rPr>
          <w:rFonts w:hint="default"/>
          <w:lang w:val="en-GB"/>
        </w:rPr>
        <w:t xml:space="preserve"> </w:t>
      </w:r>
      <w:r>
        <w:rPr>
          <w:rFonts w:hint="default"/>
        </w:rPr>
        <w:t>The Commission noted that 140 million euros of the announced aid package is subject to approval by EU budgetary authorities.</w:t>
      </w:r>
      <w:r>
        <w:rPr>
          <w:rFonts w:hint="default"/>
          <w:lang w:val="en-GB"/>
        </w:rPr>
        <w:t xml:space="preserve"> </w:t>
      </w:r>
      <w:r>
        <w:rPr>
          <w:rFonts w:hint="default"/>
        </w:rPr>
        <w:t>The announcement coincided with a visit by EU Commissioner for Crisis Management, Hadja Lahbib, to Chad, where she is assessing EU-funded projects and meeting with humanitarian partners and authorities.</w:t>
      </w:r>
      <w:r>
        <w:rPr>
          <w:rFonts w:hint="default"/>
          <w:lang w:val="en-GB"/>
        </w:rPr>
        <w:t xml:space="preserve"> </w:t>
      </w:r>
      <w:r>
        <w:rPr>
          <w:rFonts w:hint="default"/>
        </w:rPr>
        <w:t>The Sudan conflict, which began two years ago, has created the world’s largest displacement crisis with over 15 million people forced from their homes, the statement said. More than 30 million people in Sudan require humanitarian assistance, with projections indicating nearly 25 million could face acute food insecurity by May 2025.</w:t>
      </w:r>
      <w:r>
        <w:rPr>
          <w:rFonts w:hint="default"/>
          <w:lang w:val="en-GB"/>
        </w:rPr>
        <w:t xml:space="preserve"> </w:t>
      </w:r>
      <w:r>
        <w:rPr>
          <w:rFonts w:hint="default"/>
        </w:rPr>
        <w:t>The EU stated it allocated almost 260 million euros for the Sudan crisis response in 2024.</w:t>
      </w:r>
      <w:r>
        <w:rPr>
          <w:rFonts w:hint="default"/>
          <w:lang w:val="en-GB"/>
        </w:rPr>
        <w:t xml:space="preserve"> </w:t>
      </w:r>
      <w:r>
        <w:rPr>
          <w:rFonts w:hint="default"/>
        </w:rPr>
        <w:t>To maintain global attention on the crisis, the EU will co-host the London Sudan Conference on April 15 with the United Kingdom, France, Germany, and the African Union.</w:t>
      </w:r>
    </w:p>
    <w:p w14:paraId="0B5366D6">
      <w:pPr>
        <w:numPr>
          <w:ilvl w:val="0"/>
          <w:numId w:val="1"/>
        </w:numPr>
        <w:spacing w:line="276" w:lineRule="auto"/>
        <w:ind w:left="420" w:leftChars="0" w:hanging="420" w:firstLineChars="0"/>
        <w:rPr>
          <w:rFonts w:hint="default"/>
        </w:rPr>
      </w:pPr>
      <w:bookmarkStart w:id="14" w:name="_Toc15883"/>
      <w:r>
        <w:rPr>
          <w:rStyle w:val="15"/>
          <w:rFonts w:hint="default"/>
        </w:rPr>
        <w:t>Sudan asks ICJ to order UAE to halt alleged support for genocide</w:t>
      </w:r>
      <w:bookmarkEnd w:id="14"/>
      <w:r>
        <w:rPr>
          <w:rFonts w:hint="default"/>
          <w:lang w:val="en-GB"/>
        </w:rPr>
        <w:t xml:space="preserve"> - </w:t>
      </w:r>
      <w:r>
        <w:rPr>
          <w:rFonts w:hint="default"/>
          <w:lang w:val="en-GB"/>
        </w:rPr>
        <w:fldChar w:fldCharType="begin"/>
      </w:r>
      <w:r>
        <w:rPr>
          <w:rFonts w:hint="default"/>
          <w:lang w:val="en-GB"/>
        </w:rPr>
        <w:instrText xml:space="preserve"> HYPERLINK "https://sudantribune.com/article299580/" </w:instrText>
      </w:r>
      <w:r>
        <w:rPr>
          <w:rFonts w:hint="default"/>
          <w:lang w:val="en-GB"/>
        </w:rPr>
        <w:fldChar w:fldCharType="separate"/>
      </w:r>
      <w:r>
        <w:rPr>
          <w:rStyle w:val="10"/>
          <w:rFonts w:hint="default"/>
          <w:lang w:val="en-GB"/>
        </w:rPr>
        <w:t>Sudan Tribune</w:t>
      </w:r>
      <w:r>
        <w:rPr>
          <w:rFonts w:hint="default"/>
          <w:lang w:val="en-GB"/>
        </w:rPr>
        <w:fldChar w:fldCharType="end"/>
      </w:r>
    </w:p>
    <w:p w14:paraId="1752452F">
      <w:pPr>
        <w:spacing w:line="276" w:lineRule="auto"/>
        <w:rPr>
          <w:rFonts w:hint="default"/>
        </w:rPr>
      </w:pPr>
      <w:r>
        <w:rPr>
          <w:rFonts w:hint="default"/>
        </w:rPr>
        <w:t>Sudan asked the International Court of Justice (ICJ) on Thursday to order the United Arab Emirates (UAE) to halt alleged support for groups committing genocide in Darfur, while the UAE countered by asking the court to throw out the case.</w:t>
      </w:r>
      <w:r>
        <w:rPr>
          <w:rFonts w:hint="default"/>
          <w:lang w:val="en-GB"/>
        </w:rPr>
        <w:t xml:space="preserve"> </w:t>
      </w:r>
      <w:r>
        <w:rPr>
          <w:rFonts w:hint="default"/>
        </w:rPr>
        <w:t>Sudan accused the UAE of complicity in an ongoing genocide against the non-Arab Masalit ethnic group in its Darfur region. It requested emergency measures from the court, arguing the UAE’s alleged support for the Rapid Support Forces (RSF) paramilitary group is fueling atrocities against the Masalit.</w:t>
      </w:r>
      <w:r>
        <w:rPr>
          <w:rFonts w:hint="default"/>
          <w:lang w:val="en-GB"/>
        </w:rPr>
        <w:t xml:space="preserve"> </w:t>
      </w:r>
      <w:r>
        <w:rPr>
          <w:rFonts w:hint="default"/>
        </w:rPr>
        <w:t>Acting Minister of Justice Muawia Osman Mohamed Khair, representing Sudan, told the court the RSF campaign targets the Masalit population. Sudan’s lawyers detailed alleged arms shipments funneled through Chad, citing UN reports and other sources claiming cargo flights from the UAE supplied the RSF with weapons, including heavy artillery like Howitzers, and logistical support. They also referenced the U.S. State Department’s determination in January that genocide was being committed in Sudan by the RSF and allied militias.</w:t>
      </w:r>
      <w:r>
        <w:rPr>
          <w:rFonts w:hint="default"/>
          <w:lang w:val="en-GB"/>
        </w:rPr>
        <w:t xml:space="preserve"> </w:t>
      </w:r>
      <w:r>
        <w:rPr>
          <w:rFonts w:hint="default"/>
        </w:rPr>
        <w:t>In the day’s hearings, Sudan asked the ICJ to order the UAE to employ all measures within its power to prevent actions falling under Article II of the Genocide Convention. These include killing, causing serious harm, deliberately inflicting destructive conditions of life, and preventing births within the Masalit group.</w:t>
      </w:r>
      <w:r>
        <w:rPr>
          <w:rFonts w:hint="default"/>
          <w:lang w:val="en-GB"/>
        </w:rPr>
        <w:t xml:space="preserve"> </w:t>
      </w:r>
      <w:r>
        <w:rPr>
          <w:rFonts w:hint="default"/>
        </w:rPr>
        <w:t>Sudan further requested the court order the UAE to “refrain from any conduct amounting to complicity” in alleged genocide committed by irregular armed units or other groups against the Masalit.</w:t>
      </w:r>
      <w:r>
        <w:rPr>
          <w:rFonts w:hint="default"/>
          <w:lang w:val="en-GB"/>
        </w:rPr>
        <w:t xml:space="preserve"> </w:t>
      </w:r>
      <w:r>
        <w:rPr>
          <w:rFonts w:hint="default"/>
        </w:rPr>
        <w:t>A key part of Sudan’s argument focused on the UAE’s 2005 reservation to Article IX of the Genocide Convention, which the UAE stated means it does not consider itself bound by the article allowing states to bring disputes before the ICJ, also known as the World Court.</w:t>
      </w:r>
      <w:r>
        <w:rPr>
          <w:rFonts w:hint="default"/>
          <w:lang w:val="en-GB"/>
        </w:rPr>
        <w:t xml:space="preserve"> </w:t>
      </w:r>
      <w:r>
        <w:rPr>
          <w:rFonts w:hint="default"/>
        </w:rPr>
        <w:t>Sudan argued this reservation should not prevent the court from exercising jurisdiction. Its counsel contended the reservation was vaguely worded compared to others and notably omitted reference to “the responsibility of a State for genocide” – a key aspect of Article IX.</w:t>
      </w:r>
      <w:r>
        <w:rPr>
          <w:rFonts w:hint="default"/>
          <w:lang w:val="en-GB"/>
        </w:rPr>
        <w:t xml:space="preserve"> </w:t>
      </w:r>
      <w:r>
        <w:rPr>
          <w:rFonts w:hint="default"/>
        </w:rPr>
        <w:t>Sudan also argued the reservation is potentially invalid because it could be incompatible with the object and purpose of the Genocide Convention.</w:t>
      </w:r>
      <w:r>
        <w:rPr>
          <w:rFonts w:hint="default"/>
          <w:lang w:val="en-GB"/>
        </w:rPr>
        <w:t xml:space="preserve"> </w:t>
      </w:r>
      <w:r>
        <w:rPr>
          <w:rFonts w:hint="default"/>
        </w:rPr>
        <w:t>It asked the court to require the UAE to submit a report within one month, and every six months thereafter, detailing measures taken to comply with any court order.</w:t>
      </w:r>
      <w:r>
        <w:rPr>
          <w:rFonts w:hint="default"/>
          <w:lang w:val="en-GB"/>
        </w:rPr>
        <w:t xml:space="preserve"> </w:t>
      </w:r>
      <w:r>
        <w:rPr>
          <w:rFonts w:hint="default"/>
        </w:rPr>
        <w:t>UAE seeks case dismissal</w:t>
      </w:r>
      <w:r>
        <w:rPr>
          <w:rFonts w:hint="default"/>
          <w:lang w:val="en-GB"/>
        </w:rPr>
        <w:t xml:space="preserve">: </w:t>
      </w:r>
      <w:r>
        <w:rPr>
          <w:rFonts w:hint="default"/>
        </w:rPr>
        <w:t>Representing the UAE, Ambassador Ameirah Al Hefeiti led the delegation in the afternoon hearing.</w:t>
      </w:r>
      <w:r>
        <w:rPr>
          <w:rFonts w:hint="default"/>
          <w:lang w:val="en-GB"/>
        </w:rPr>
        <w:t xml:space="preserve"> </w:t>
      </w:r>
      <w:r>
        <w:rPr>
          <w:rFonts w:hint="default"/>
        </w:rPr>
        <w:t>At the conclusion of arguments, the UAE formally requested the Court “to reject the request for the indication of provisional measures submitted by the Republic of the Sudan” and “to remove from the General List the case introduced by the Republic of the Sudan on 5 March 2025”.</w:t>
      </w:r>
      <w:r>
        <w:rPr>
          <w:rFonts w:hint="default"/>
          <w:lang w:val="en-GB"/>
        </w:rPr>
        <w:t xml:space="preserve"> </w:t>
      </w:r>
      <w:r>
        <w:rPr>
          <w:rFonts w:hint="default"/>
        </w:rPr>
        <w:t>The ICJ judges will now deliberate on the request for provisional measures. Their decision will be delivered at a public sitting on a date to be announced later.</w:t>
      </w:r>
    </w:p>
    <w:p w14:paraId="4B8F384C">
      <w:pPr>
        <w:numPr>
          <w:ilvl w:val="0"/>
          <w:numId w:val="1"/>
        </w:numPr>
        <w:spacing w:line="276" w:lineRule="auto"/>
        <w:ind w:left="420" w:leftChars="0" w:hanging="420" w:firstLineChars="0"/>
        <w:rPr>
          <w:rFonts w:hint="default"/>
        </w:rPr>
      </w:pPr>
      <w:bookmarkStart w:id="15" w:name="_Toc17627"/>
      <w:r>
        <w:rPr>
          <w:rStyle w:val="15"/>
          <w:rFonts w:hint="default"/>
        </w:rPr>
        <w:t>Amnesty accuses RSF of widespread sexual violence as war crime in Sudan</w:t>
      </w:r>
      <w:bookmarkEnd w:id="15"/>
      <w:r>
        <w:rPr>
          <w:rFonts w:hint="default"/>
          <w:lang w:val="en-GB"/>
        </w:rPr>
        <w:t xml:space="preserve"> - </w:t>
      </w:r>
      <w:r>
        <w:rPr>
          <w:rFonts w:hint="default"/>
          <w:lang w:val="en-GB"/>
        </w:rPr>
        <w:fldChar w:fldCharType="begin"/>
      </w:r>
      <w:r>
        <w:rPr>
          <w:rFonts w:hint="default"/>
          <w:lang w:val="en-GB"/>
        </w:rPr>
        <w:instrText xml:space="preserve"> HYPERLINK "https://sudantribune.com/article299552/" </w:instrText>
      </w:r>
      <w:r>
        <w:rPr>
          <w:rFonts w:hint="default"/>
          <w:lang w:val="en-GB"/>
        </w:rPr>
        <w:fldChar w:fldCharType="separate"/>
      </w:r>
      <w:r>
        <w:rPr>
          <w:rStyle w:val="10"/>
          <w:rFonts w:hint="default"/>
          <w:lang w:val="en-GB"/>
        </w:rPr>
        <w:t>Sudan Tribune</w:t>
      </w:r>
      <w:r>
        <w:rPr>
          <w:rFonts w:hint="default"/>
          <w:lang w:val="en-GB"/>
        </w:rPr>
        <w:fldChar w:fldCharType="end"/>
      </w:r>
    </w:p>
    <w:p w14:paraId="14FD550E">
      <w:pPr>
        <w:spacing w:line="276" w:lineRule="auto"/>
        <w:rPr>
          <w:rFonts w:hint="default"/>
        </w:rPr>
      </w:pPr>
      <w:r>
        <w:rPr>
          <w:rFonts w:hint="default"/>
        </w:rPr>
        <w:t>Sudan’s paramilitary Rapid Support Forces (RSF) have systematically used rape and other forms of sexual violence against women and girls as a weapon of war, constituting war crimes and possible crimes against humanity, Amnesty International said in a report released Thursday.</w:t>
      </w:r>
      <w:r>
        <w:rPr>
          <w:rFonts w:hint="default"/>
          <w:lang w:val="en-GB"/>
        </w:rPr>
        <w:t xml:space="preserve"> </w:t>
      </w:r>
      <w:r>
        <w:rPr>
          <w:rFonts w:hint="default"/>
        </w:rPr>
        <w:t>The rights group documented 36 cases of rape or gang rape by RSF soldiers, including against girls as young as 15, across four Sudanese states between the start of the civil war in April 2023 and October 2024. The report detailed incidents of sexual slavery, torture, and assaults carried out to humiliate and displace communities.</w:t>
      </w:r>
      <w:r>
        <w:rPr>
          <w:rFonts w:hint="default"/>
          <w:lang w:val="en-GB"/>
        </w:rPr>
        <w:t xml:space="preserve"> </w:t>
      </w:r>
      <w:r>
        <w:rPr>
          <w:rFonts w:hint="default"/>
        </w:rPr>
        <w:t>“The RSF’s assaults on Sudanese women and girls are sickening, depraved and aimed at inflicting maximum humiliation,” said Deprose Muchena, Amnesty International’s Senior Director for Regional Human Rights Impact.</w:t>
      </w:r>
      <w:r>
        <w:rPr>
          <w:rFonts w:hint="default"/>
          <w:lang w:val="en-GB"/>
        </w:rPr>
        <w:t xml:space="preserve"> </w:t>
      </w:r>
      <w:r>
        <w:rPr>
          <w:rFonts w:hint="default"/>
        </w:rPr>
        <w:t>Sudan’s conflict, which erupted between the RSF and the Sudanese Armed Forces (SAF) in April 2023, has killed tens of thousands and displaced over 11 million people. Amnesty noted that while both sides have committed serious violations of international law, its latest report focuses on sexual violence perpetrated by the RSF.</w:t>
      </w:r>
      <w:r>
        <w:rPr>
          <w:rFonts w:hint="default"/>
          <w:lang w:val="en-GB"/>
        </w:rPr>
        <w:t xml:space="preserve"> </w:t>
      </w:r>
      <w:r>
        <w:rPr>
          <w:rFonts w:hint="default"/>
        </w:rPr>
        <w:t>The report, titled “They raped all of us: Sexual violence against women and girls in Sudan,” is based on interviews with 30 people, mostly survivors and their relatives sheltering in Ugandan refugee camps. All interviewees identified RSF fighters as the perpetrators, Amnesty said.</w:t>
      </w:r>
      <w:r>
        <w:rPr>
          <w:rFonts w:hint="default"/>
          <w:lang w:val="en-GB"/>
        </w:rPr>
        <w:t xml:space="preserve"> </w:t>
      </w:r>
      <w:r>
        <w:rPr>
          <w:rFonts w:hint="default"/>
        </w:rPr>
        <w:t>Cases documented included the rape of a mother after her breastfeeding baby was taken from her, the 30-day sexual enslavement of a woman in Khartoum, and gang rapes carried out in front of family members. Some women were reportedly targeted on suspicion of affiliation with the SAF or raped after being unable to save wounded RSF soldiers they were forced to treat.</w:t>
      </w:r>
      <w:r>
        <w:rPr>
          <w:rFonts w:hint="default"/>
          <w:lang w:val="en-GB"/>
        </w:rPr>
        <w:t xml:space="preserve"> </w:t>
      </w:r>
      <w:r>
        <w:rPr>
          <w:rFonts w:hint="default"/>
        </w:rPr>
        <w:t>Amnesty stated that many attacks occurred openly, suggesting perpetrators felt little fear of repercussions. The RSF did not respond to Amnesty’s requests for comment on the allegations, the rights group said.</w:t>
      </w:r>
      <w:r>
        <w:rPr>
          <w:rFonts w:hint="default"/>
          <w:lang w:val="en-GB"/>
        </w:rPr>
        <w:t xml:space="preserve"> </w:t>
      </w:r>
      <w:r>
        <w:rPr>
          <w:rFonts w:hint="default"/>
        </w:rPr>
        <w:t>Survivors reported severe physical and psychological trauma but faced immense barriers to accessing post-rape care or justice due to ongoing fighting, fear of stigma, and reprisals. Amnesty criticised cuts to international aid funding which it said diminished access to essential sexual and reproductive healthcare for survivors who fled the country.</w:t>
      </w:r>
      <w:r>
        <w:rPr>
          <w:rFonts w:hint="default"/>
          <w:lang w:val="en-GB"/>
        </w:rPr>
        <w:t xml:space="preserve"> </w:t>
      </w:r>
      <w:r>
        <w:rPr>
          <w:rFonts w:hint="default"/>
        </w:rPr>
        <w:t>“The world must act to stop the RSF’s atrocities by stemming the flow of weapons into Sudan, pressuring the leadership to end sexual violence, and holding perpetrators including top commanders to account,” Muchena said.</w:t>
      </w:r>
      <w:r>
        <w:rPr>
          <w:rFonts w:hint="default"/>
          <w:lang w:val="en-GB"/>
        </w:rPr>
        <w:t xml:space="preserve"> </w:t>
      </w:r>
      <w:r>
        <w:rPr>
          <w:rFonts w:hint="default"/>
        </w:rPr>
        <w:t>He described the international response to the suffering as “reprehensible” and called for efforts to establish the truth, bring suspected perpetrators to justice, and provide reparations and comprehensive care to survivors.</w:t>
      </w:r>
    </w:p>
    <w:p w14:paraId="77E16BC4">
      <w:pPr>
        <w:numPr>
          <w:ilvl w:val="0"/>
          <w:numId w:val="1"/>
        </w:numPr>
        <w:spacing w:line="276" w:lineRule="auto"/>
        <w:ind w:left="420" w:leftChars="0" w:hanging="420" w:firstLineChars="0"/>
        <w:rPr>
          <w:rFonts w:hint="default"/>
        </w:rPr>
      </w:pPr>
      <w:bookmarkStart w:id="16" w:name="_Toc18529"/>
      <w:r>
        <w:rPr>
          <w:rStyle w:val="15"/>
          <w:rFonts w:hint="default"/>
        </w:rPr>
        <w:t>Sudan’s Burhan, Malian intelligence chief discuss closer ties amid conflict</w:t>
      </w:r>
      <w:bookmarkEnd w:id="16"/>
      <w:r>
        <w:rPr>
          <w:rFonts w:hint="default"/>
          <w:lang w:val="en-GB"/>
        </w:rPr>
        <w:t xml:space="preserve"> - </w:t>
      </w:r>
      <w:r>
        <w:rPr>
          <w:rFonts w:hint="default"/>
          <w:lang w:val="en-GB"/>
        </w:rPr>
        <w:fldChar w:fldCharType="begin"/>
      </w:r>
      <w:r>
        <w:rPr>
          <w:rFonts w:hint="default"/>
          <w:lang w:val="en-GB"/>
        </w:rPr>
        <w:instrText xml:space="preserve"> HYPERLINK "https://sudantribune.com/article299523/" </w:instrText>
      </w:r>
      <w:r>
        <w:rPr>
          <w:rFonts w:hint="default"/>
          <w:lang w:val="en-GB"/>
        </w:rPr>
        <w:fldChar w:fldCharType="separate"/>
      </w:r>
      <w:r>
        <w:rPr>
          <w:rStyle w:val="10"/>
          <w:rFonts w:hint="default"/>
          <w:lang w:val="en-GB"/>
        </w:rPr>
        <w:t>Sudan Tribune</w:t>
      </w:r>
      <w:r>
        <w:rPr>
          <w:rFonts w:hint="default"/>
          <w:lang w:val="en-GB"/>
        </w:rPr>
        <w:fldChar w:fldCharType="end"/>
      </w:r>
    </w:p>
    <w:p w14:paraId="66BECE7F">
      <w:pPr>
        <w:spacing w:line="276" w:lineRule="auto"/>
        <w:rPr>
          <w:rFonts w:hint="default"/>
        </w:rPr>
      </w:pPr>
      <w:r>
        <w:rPr>
          <w:rFonts w:hint="default"/>
        </w:rPr>
        <w:t>Sudan’s leader General Abdel Fattah al-Burhan met Mali’s intelligence chief Modibo Kone in Port Sudan on Wednesday, the latest high-level contact aimed at strengthening relations as Sudan seeks regional support amid its ongoing internal conflict, Sudan’s ruling council said.</w:t>
      </w:r>
      <w:r>
        <w:rPr>
          <w:rFonts w:hint="default"/>
          <w:lang w:val="en-GB"/>
        </w:rPr>
        <w:t xml:space="preserve"> </w:t>
      </w:r>
      <w:r>
        <w:rPr>
          <w:rFonts w:hint="default"/>
        </w:rPr>
        <w:t>Kone delivered an oral message to Burhan from Mali’s President Assimi Goita concerning bilateral ties and ways to enhance cooperation “in all fields”, the Sovereign Council’s media office said in a statement.</w:t>
      </w:r>
      <w:r>
        <w:rPr>
          <w:rFonts w:hint="default"/>
          <w:lang w:val="en-GB"/>
        </w:rPr>
        <w:t xml:space="preserve"> </w:t>
      </w:r>
      <w:r>
        <w:rPr>
          <w:rFonts w:hint="default"/>
        </w:rPr>
        <w:t>Burhan praised the “fraternal relations” between the nations and stressed the need to consolidate ties to serve their “common interests”, the statement added.</w:t>
      </w:r>
      <w:r>
        <w:rPr>
          <w:rFonts w:hint="default"/>
          <w:lang w:val="en-GB"/>
        </w:rPr>
        <w:t xml:space="preserve"> </w:t>
      </w:r>
      <w:r>
        <w:rPr>
          <w:rFonts w:hint="default"/>
        </w:rPr>
        <w:t>The meeting, also attended by the head of Sudan’s General Intelligence Service, General Ahmed Ibrahim Mufaddal, follows other recent engagements as both countries navigate significant security challenges.</w:t>
      </w:r>
      <w:r>
        <w:rPr>
          <w:rFonts w:hint="default"/>
          <w:lang w:val="en-GB"/>
        </w:rPr>
        <w:t xml:space="preserve"> </w:t>
      </w:r>
      <w:r>
        <w:rPr>
          <w:rFonts w:hint="default"/>
        </w:rPr>
        <w:t>Burhan visited Mali’s capital Bamako for 48 hours starting Jan. 11, 2025, for talks focused on security and economic cooperation. That followed a visit by another top Sudanese official, General Shams al-Din Kabbashi, to Bamako on June 5, 2024, aimed at bolstering security, military, and diplomatic links.</w:t>
      </w:r>
      <w:r>
        <w:rPr>
          <w:rFonts w:hint="default"/>
          <w:lang w:val="en-GB"/>
        </w:rPr>
        <w:t xml:space="preserve"> </w:t>
      </w:r>
      <w:r>
        <w:rPr>
          <w:rFonts w:hint="default"/>
        </w:rPr>
        <w:t>The push for closer security ties comes as Sudan’s army, loyal to Burhan, battles the paramilitary Rapid Support Forces (RSF) in a conflict now entering its third year. Khartoum has repeatedly voiced concerns about alleged recruitment activities by the RSF in neighbouring countries, including Mali and others in the Sahel region, and has sought regional cooperation to curb the flow of foreign fighters joining the conflict.</w:t>
      </w:r>
      <w:r>
        <w:rPr>
          <w:rFonts w:hint="default"/>
          <w:lang w:val="en-GB"/>
        </w:rPr>
        <w:t xml:space="preserve"> </w:t>
      </w:r>
      <w:r>
        <w:rPr>
          <w:rFonts w:hint="default"/>
        </w:rPr>
        <w:t>Discussions during those earlier visits reportedly included agreements to establish joint commissions and facilitate exchanges between the two countries’ armed forces.</w:t>
      </w:r>
      <w:r>
        <w:rPr>
          <w:rFonts w:hint="default"/>
          <w:lang w:val="en-GB"/>
        </w:rPr>
        <w:t xml:space="preserve"> </w:t>
      </w:r>
      <w:r>
        <w:rPr>
          <w:rFonts w:hint="default"/>
        </w:rPr>
        <w:t>Sudan’s transitional government has operated largely from Port Sudan since fighting erupted in the capital Khartoum a year ago. Mali’s leadership, which took power following coups, has been consolidating regional alliances while facing its own long-running security issues and international pressure.</w:t>
      </w:r>
    </w:p>
    <w:p w14:paraId="3C245737">
      <w:pPr>
        <w:spacing w:line="276" w:lineRule="auto"/>
      </w:pPr>
      <w:r>
        <w:t>________________________________________________________________________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17" w:name="_Toc3228"/>
      <w:r>
        <w:rPr>
          <w:rFonts w:eastAsia="DengXian Light" w:cs="Times New Roman"/>
          <w:b/>
          <w:bCs/>
          <w:color w:val="2F5496"/>
          <w:szCs w:val="24"/>
          <w:u w:val="single"/>
        </w:rPr>
        <w:t>Gulf Region and the Middle East</w:t>
      </w:r>
      <w:bookmarkEnd w:id="17"/>
    </w:p>
    <w:p w14:paraId="022CF10A">
      <w:pPr>
        <w:pStyle w:val="3"/>
      </w:pPr>
      <w:bookmarkStart w:id="18" w:name="_Toc20337"/>
      <w:r>
        <w:t>Iran</w:t>
      </w:r>
      <w:bookmarkEnd w:id="18"/>
    </w:p>
    <w:p w14:paraId="749BE520">
      <w:pPr>
        <w:numPr>
          <w:ilvl w:val="0"/>
          <w:numId w:val="1"/>
        </w:numPr>
        <w:spacing w:line="276" w:lineRule="auto"/>
        <w:ind w:left="420" w:leftChars="0" w:hanging="420" w:firstLineChars="0"/>
        <w:rPr>
          <w:rFonts w:hint="default"/>
        </w:rPr>
      </w:pPr>
      <w:bookmarkStart w:id="19" w:name="_Toc9362"/>
      <w:r>
        <w:rPr>
          <w:rStyle w:val="15"/>
          <w:rFonts w:hint="default"/>
        </w:rPr>
        <w:t>Iran says IAEA inspectors could be expelled if threats continue</w:t>
      </w:r>
      <w:bookmarkEnd w:id="19"/>
      <w:r>
        <w:rPr>
          <w:rFonts w:hint="default"/>
          <w:lang w:val="en-GB"/>
        </w:rPr>
        <w:t xml:space="preserve"> - </w:t>
      </w:r>
      <w:r>
        <w:rPr>
          <w:rFonts w:hint="default"/>
          <w:lang w:val="en-GB"/>
        </w:rPr>
        <w:fldChar w:fldCharType="begin"/>
      </w:r>
      <w:r>
        <w:rPr>
          <w:rFonts w:hint="default"/>
          <w:lang w:val="en-GB"/>
        </w:rPr>
        <w:instrText xml:space="preserve"> HYPERLINK "https://www.middleeastmonitor.com/20250410-iran-says-iaea-inspectors-could-be-expelled-if-threats-continue/"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E6C00A7">
      <w:pPr>
        <w:spacing w:line="276" w:lineRule="auto"/>
        <w:rPr>
          <w:rFonts w:hint="default"/>
        </w:rPr>
      </w:pPr>
      <w:r>
        <w:rPr>
          <w:rFonts w:hint="default"/>
        </w:rPr>
        <w:t>A senior Iranian official warned today that Iran may expel inspectors from the International Atomic Energy Agency (IAEA) and suspend cooperation with the agency if “external threats” persist.</w:t>
      </w:r>
      <w:r>
        <w:rPr>
          <w:rFonts w:hint="default"/>
          <w:lang w:val="en-GB"/>
        </w:rPr>
        <w:t xml:space="preserve"> </w:t>
      </w:r>
      <w:r>
        <w:rPr>
          <w:rFonts w:hint="default"/>
        </w:rPr>
        <w:t>In a statement on his X account, Ali Shamkhani said the continuation of “external threats and the possibility of a military attack on Iran” could lead to the “expulsion of IAEA inspectors and the suspension of cooperation with the IAEA.”</w:t>
      </w:r>
      <w:r>
        <w:rPr>
          <w:rFonts w:hint="default"/>
          <w:lang w:val="en-GB"/>
        </w:rPr>
        <w:t xml:space="preserve"> </w:t>
      </w:r>
      <w:r>
        <w:rPr>
          <w:rFonts w:hint="default"/>
        </w:rPr>
        <w:t>Shamkhani, an adviser to Iran’s Supreme Leader Ayatollah Ali Khamenei and former head of the country’s top security agency, also warned that transferring enriched materials to “secure and undisclosed locations within Iran” may be considered.</w:t>
      </w:r>
      <w:r>
        <w:rPr>
          <w:rFonts w:hint="default"/>
          <w:lang w:val="en-GB"/>
        </w:rPr>
        <w:t xml:space="preserve"> </w:t>
      </w:r>
      <w:r>
        <w:rPr>
          <w:rFonts w:hint="default"/>
        </w:rPr>
        <w:t>His remarks come amid a dramatic escalation in tensions between Iran and the US over Iran’s nuclear programme, with US President Donald Trump threatening a military strike against Tehran if talks on a new nuclear deal fail to reap fruit.</w:t>
      </w:r>
    </w:p>
    <w:p w14:paraId="562A0D07">
      <w:pPr>
        <w:pStyle w:val="3"/>
        <w:bidi w:val="0"/>
        <w:rPr>
          <w:rFonts w:hint="default"/>
          <w:lang w:val="en-GB"/>
        </w:rPr>
      </w:pPr>
      <w:bookmarkStart w:id="20" w:name="_Toc10177"/>
      <w:r>
        <w:rPr>
          <w:rFonts w:hint="default"/>
          <w:lang w:val="en-GB"/>
        </w:rPr>
        <w:t>Lebanon</w:t>
      </w:r>
      <w:bookmarkEnd w:id="20"/>
    </w:p>
    <w:p w14:paraId="09E2515E">
      <w:pPr>
        <w:numPr>
          <w:ilvl w:val="0"/>
          <w:numId w:val="1"/>
        </w:numPr>
        <w:spacing w:line="276" w:lineRule="auto"/>
        <w:ind w:left="420" w:leftChars="0" w:hanging="420" w:firstLineChars="0"/>
        <w:rPr>
          <w:rFonts w:hint="default"/>
          <w:lang w:val="en-GB"/>
        </w:rPr>
      </w:pPr>
      <w:bookmarkStart w:id="21" w:name="_Toc17460"/>
      <w:r>
        <w:rPr>
          <w:rStyle w:val="15"/>
          <w:rFonts w:hint="default"/>
          <w:lang w:val="en-GB"/>
        </w:rPr>
        <w:t>Lebanon reports new Israeli drone strike amid ceasefire violations</w:t>
      </w:r>
      <w:bookmarkEnd w:id="21"/>
      <w:r>
        <w:rPr>
          <w:rFonts w:hint="default"/>
          <w:lang w:val="en-GB"/>
        </w:rPr>
        <w:t xml:space="preserve"> - </w:t>
      </w:r>
      <w:r>
        <w:rPr>
          <w:rFonts w:hint="default"/>
          <w:lang w:val="en-GB"/>
        </w:rPr>
        <w:fldChar w:fldCharType="begin"/>
      </w:r>
      <w:r>
        <w:rPr>
          <w:rFonts w:hint="default"/>
          <w:lang w:val="en-GB"/>
        </w:rPr>
        <w:instrText xml:space="preserve"> HYPERLINK "https://www.middleeastmonitor.com/20250410-lebanon-reports-new-israeli-drone-strike-amid-ceasefire-violations/"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3EC4672">
      <w:pPr>
        <w:spacing w:line="276" w:lineRule="auto"/>
        <w:rPr>
          <w:rFonts w:hint="default"/>
          <w:lang w:val="en-GB"/>
        </w:rPr>
      </w:pPr>
      <w:r>
        <w:rPr>
          <w:rFonts w:hint="default"/>
          <w:lang w:val="en-GB"/>
        </w:rPr>
        <w:t>Lebanese media reported a new Israeli airstrike in southern Lebanon on Thursday, in the latest violation of a ceasefire agreement, Anadolu reports. According to the state news agency NNA, an Israeli drone fired two missiles into an excavator and bulldozer in the border town of Aita al-Shaab. The attack occurred as Israeli reconnaissance drones flew over the area, the broadcaster said. There were no immediate reports of casualties. Earlier Thursday, Israeli forces opened fire on a car in the southern town of Wazzani, but no injuries were reported. A fragile ceasefire had been in place in Lebanon since November, ending months of cross-border warfare between Israel and the Lebanese group Hezbollah, which escalated into a full-scale conflict last September. Lebanese authorities reported over 1,400 Israeli violations of the ceasefire, including at least 125 fatalities and more than 370 injuries. Under the ceasefire deal, Israel was supposed to fully withdraw from southern Lebanon by Jan. 26, but the deadline was extended to Feb. 18 after it refused to comply. It still maintains a military presence at five border outposts.</w:t>
      </w:r>
    </w:p>
    <w:p w14:paraId="3B66B657">
      <w:pPr>
        <w:pStyle w:val="3"/>
        <w:spacing w:line="276" w:lineRule="auto"/>
      </w:pPr>
      <w:bookmarkStart w:id="22" w:name="_Toc13255"/>
      <w:r>
        <w:t>Israel</w:t>
      </w:r>
      <w:bookmarkEnd w:id="22"/>
      <w:r>
        <w:t xml:space="preserve"> </w:t>
      </w:r>
    </w:p>
    <w:p w14:paraId="7D5D4777">
      <w:pPr>
        <w:numPr>
          <w:ilvl w:val="0"/>
          <w:numId w:val="1"/>
        </w:numPr>
        <w:spacing w:line="276" w:lineRule="auto"/>
        <w:ind w:left="420" w:leftChars="0" w:hanging="420" w:firstLineChars="0"/>
        <w:rPr>
          <w:rFonts w:hint="default"/>
        </w:rPr>
      </w:pPr>
      <w:bookmarkStart w:id="23" w:name="_Toc12663"/>
      <w:r>
        <w:rPr>
          <w:rStyle w:val="15"/>
          <w:rFonts w:hint="default"/>
        </w:rPr>
        <w:t>Netanyahu backs dismissal of Israeli reservists calling for end to Gaza war</w:t>
      </w:r>
      <w:bookmarkEnd w:id="23"/>
      <w:r>
        <w:rPr>
          <w:rFonts w:hint="default"/>
          <w:lang w:val="en-GB"/>
        </w:rPr>
        <w:t xml:space="preserve"> - </w:t>
      </w:r>
      <w:r>
        <w:rPr>
          <w:rFonts w:hint="default"/>
          <w:lang w:val="en-GB"/>
        </w:rPr>
        <w:fldChar w:fldCharType="begin"/>
      </w:r>
      <w:r>
        <w:rPr>
          <w:rFonts w:hint="default"/>
          <w:lang w:val="en-GB"/>
        </w:rPr>
        <w:instrText xml:space="preserve"> HYPERLINK "https://www.aljazeera.com/news/2025/4/10/netanyahu-slams-reservists-urging-end-to-gaza-war-as-army-warns-dismissal" </w:instrText>
      </w:r>
      <w:r>
        <w:rPr>
          <w:rFonts w:hint="default"/>
          <w:lang w:val="en-GB"/>
        </w:rPr>
        <w:fldChar w:fldCharType="separate"/>
      </w:r>
      <w:r>
        <w:rPr>
          <w:rStyle w:val="10"/>
          <w:rFonts w:hint="default"/>
          <w:lang w:val="en-GB"/>
        </w:rPr>
        <w:t>Al-Jazeera</w:t>
      </w:r>
      <w:r>
        <w:rPr>
          <w:rFonts w:hint="default"/>
          <w:lang w:val="en-GB"/>
        </w:rPr>
        <w:fldChar w:fldCharType="end"/>
      </w:r>
    </w:p>
    <w:p w14:paraId="0634F838">
      <w:pPr>
        <w:spacing w:line="276" w:lineRule="auto"/>
        <w:rPr>
          <w:rFonts w:hint="default"/>
        </w:rPr>
      </w:pPr>
      <w:r>
        <w:rPr>
          <w:rFonts w:hint="default"/>
        </w:rPr>
        <w:t>Israeli Prime Minister Benjamin Netanyahu has denounced about 1,000 current and retired Israeli Air Force reservists, who signed a letter calling for an end to the war in Gaza, referring to them as “marginal and extremist”, while expressing support for the serving pilots’ dismissal.</w:t>
      </w:r>
      <w:r>
        <w:rPr>
          <w:rFonts w:hint="default"/>
          <w:lang w:val="en-GB"/>
        </w:rPr>
        <w:t xml:space="preserve"> </w:t>
      </w:r>
      <w:r>
        <w:rPr>
          <w:rFonts w:hint="default"/>
        </w:rPr>
        <w:t>In a statement posted on X on Thursday, Netanyahu’s office said the prime minister “backs the decision” of the defence minister and the Israeli military chief of staff “to dismiss those who signed the letter”.</w:t>
      </w:r>
      <w:r>
        <w:rPr>
          <w:rFonts w:hint="default"/>
          <w:lang w:val="en-GB"/>
        </w:rPr>
        <w:t xml:space="preserve"> </w:t>
      </w:r>
      <w:r>
        <w:rPr>
          <w:rFonts w:hint="default"/>
        </w:rPr>
        <w:t>The document, which ignited a political uproar in Israel, urged all Israeli citizens to demand an end to the war, warning that the bombardment of Gaza puts Israeli captives held in the enclave at risk.</w:t>
      </w:r>
      <w:r>
        <w:rPr>
          <w:rFonts w:hint="default"/>
          <w:lang w:val="en-GB"/>
        </w:rPr>
        <w:t xml:space="preserve"> </w:t>
      </w:r>
      <w:r>
        <w:rPr>
          <w:rFonts w:hint="default"/>
        </w:rPr>
        <w:t>“As has been proven in the past, only a [ceasefire] deal can bring back the hostages safely, while military pressure mainly leads to the killing of the hostages and the endangerment of our soldiers,” the soldiers said.</w:t>
      </w:r>
      <w:r>
        <w:rPr>
          <w:rFonts w:hint="default"/>
          <w:lang w:val="en-GB"/>
        </w:rPr>
        <w:t xml:space="preserve"> </w:t>
      </w:r>
      <w:r>
        <w:rPr>
          <w:rFonts w:hint="default"/>
        </w:rPr>
        <w:t>“Currently, the war serves mainly political and personal interests, not security interests,” the document added.</w:t>
      </w:r>
      <w:r>
        <w:rPr>
          <w:rFonts w:hint="default"/>
          <w:lang w:val="en-GB"/>
        </w:rPr>
        <w:t xml:space="preserve"> </w:t>
      </w:r>
      <w:r>
        <w:rPr>
          <w:rFonts w:hint="default"/>
        </w:rPr>
        <w:t>Netanyahu said “expressions that weaken” the military “and strengthen our enemies in wartime are unforgiveable”.</w:t>
      </w:r>
      <w:r>
        <w:rPr>
          <w:rFonts w:hint="default"/>
          <w:lang w:val="en-GB"/>
        </w:rPr>
        <w:t xml:space="preserve"> </w:t>
      </w:r>
      <w:r>
        <w:rPr>
          <w:rFonts w:hint="default"/>
        </w:rPr>
        <w:t>“This is a marginal and extremist group that is again trying to break Israeli society from within,” he added, accusing them of trying to topple the government. “They already tried to do this before October 7 and Hamas interpreted the call to refuse to serve as weakness.”</w:t>
      </w:r>
      <w:r>
        <w:rPr>
          <w:rFonts w:hint="default"/>
          <w:lang w:val="en-GB"/>
        </w:rPr>
        <w:t xml:space="preserve"> </w:t>
      </w:r>
      <w:r>
        <w:rPr>
          <w:rFonts w:hint="default"/>
        </w:rPr>
        <w:t>According to Israeli media, the letter does not call for a general refusal to serve but rather urges Israeli officials to prioritise the release of captives rather than pursuing the deadly war.</w:t>
      </w:r>
      <w:r>
        <w:rPr>
          <w:rFonts w:hint="default"/>
          <w:lang w:val="en-GB"/>
        </w:rPr>
        <w:t xml:space="preserve"> </w:t>
      </w:r>
      <w:r>
        <w:rPr>
          <w:rFonts w:hint="default"/>
        </w:rPr>
        <w:t>The Israeli newspaper Haaretz said the signatories include many active reservists, including senior officers and pilots, as well as others who are no longer in active reserve duty.</w:t>
      </w:r>
      <w:r>
        <w:rPr>
          <w:rFonts w:hint="default"/>
          <w:lang w:val="en-GB"/>
        </w:rPr>
        <w:t xml:space="preserve"> </w:t>
      </w:r>
      <w:r>
        <w:rPr>
          <w:rFonts w:hint="default"/>
        </w:rPr>
        <w:t>The report added that after the document was leaked, military officials called the signatories and urged them to retract, on orders from Israeli Air Force commander Tomer Bar.</w:t>
      </w:r>
      <w:r>
        <w:rPr>
          <w:rFonts w:hint="default"/>
          <w:lang w:val="en-GB"/>
        </w:rPr>
        <w:t xml:space="preserve"> </w:t>
      </w:r>
      <w:r>
        <w:rPr>
          <w:rFonts w:hint="default"/>
        </w:rPr>
        <w:t>Bar also threatened the reservist pilots who signed the letter would be barred from serving, according to Israel’s public broadcaster Kan.</w:t>
      </w:r>
      <w:r>
        <w:rPr>
          <w:rFonts w:hint="default"/>
          <w:lang w:val="en-GB"/>
        </w:rPr>
        <w:t xml:space="preserve"> </w:t>
      </w:r>
      <w:r>
        <w:rPr>
          <w:rFonts w:hint="default"/>
        </w:rPr>
        <w:t>Haaretz said only 25 retracted their signatures while eight more signed in protest.</w:t>
      </w:r>
      <w:r>
        <w:rPr>
          <w:rFonts w:hint="default"/>
          <w:lang w:val="en-GB"/>
        </w:rPr>
        <w:t xml:space="preserve"> </w:t>
      </w:r>
      <w:r>
        <w:rPr>
          <w:rFonts w:hint="default"/>
        </w:rPr>
        <w:t>The newspaper later reported that Israel’s Military Chief of Staff Eyal Zamir and the Air Force’s Bar have decided to dismiss the reservists.</w:t>
      </w:r>
      <w:r>
        <w:rPr>
          <w:rFonts w:hint="default"/>
          <w:lang w:val="en-GB"/>
        </w:rPr>
        <w:t xml:space="preserve"> </w:t>
      </w:r>
      <w:r>
        <w:rPr>
          <w:rFonts w:hint="default"/>
        </w:rPr>
        <w:t>It is unclear when the dismissal would take effect.</w:t>
      </w:r>
      <w:r>
        <w:rPr>
          <w:rFonts w:hint="default"/>
          <w:lang w:val="en-GB"/>
        </w:rPr>
        <w:t xml:space="preserve"> </w:t>
      </w:r>
      <w:r>
        <w:rPr>
          <w:rFonts w:hint="default"/>
        </w:rPr>
        <w:t>Critics have accused Netanyahu of prolonging the war in a bid to keep his cabinet intact and stay as prime minister.</w:t>
      </w:r>
      <w:r>
        <w:rPr>
          <w:rFonts w:hint="default"/>
          <w:lang w:val="en-GB"/>
        </w:rPr>
        <w:t xml:space="preserve"> </w:t>
      </w:r>
      <w:r>
        <w:rPr>
          <w:rFonts w:hint="default"/>
        </w:rPr>
        <w:t>Families of Israeli captives and their supporters have also been urging Netanyahu to reach a ceasefire with Hamas and pave the way for the captives’ release.</w:t>
      </w:r>
      <w:r>
        <w:rPr>
          <w:rFonts w:hint="default"/>
          <w:lang w:val="en-GB"/>
        </w:rPr>
        <w:t xml:space="preserve"> </w:t>
      </w:r>
      <w:r>
        <w:rPr>
          <w:rFonts w:hint="default"/>
        </w:rPr>
        <w:t>Gaza’s Health Ministry says at least 50,846 Palestinians are confirmed dead and 115,729 wounded in Israel’s war on Gaza. The enclave’s Government Media Office updated its death toll to more than 61,700, saying thousands of people missing under the rubble are presumed dead.</w:t>
      </w:r>
    </w:p>
    <w:p w14:paraId="0654DB45">
      <w:pPr>
        <w:numPr>
          <w:ilvl w:val="0"/>
          <w:numId w:val="1"/>
        </w:numPr>
        <w:spacing w:line="276" w:lineRule="auto"/>
        <w:ind w:left="420" w:leftChars="0" w:hanging="420" w:firstLineChars="0"/>
        <w:rPr>
          <w:rFonts w:hint="default"/>
        </w:rPr>
      </w:pPr>
      <w:bookmarkStart w:id="24" w:name="_Toc16796"/>
      <w:r>
        <w:rPr>
          <w:rStyle w:val="15"/>
          <w:rFonts w:hint="default"/>
        </w:rPr>
        <w:t>Israeli court rejects appeal to restore electricity in Gaza</w:t>
      </w:r>
      <w:bookmarkEnd w:id="24"/>
      <w:r>
        <w:rPr>
          <w:rFonts w:hint="default"/>
          <w:lang w:val="en-GB"/>
        </w:rPr>
        <w:t xml:space="preserve"> - </w:t>
      </w:r>
      <w:r>
        <w:rPr>
          <w:rFonts w:hint="default"/>
          <w:lang w:val="en-GB"/>
        </w:rPr>
        <w:fldChar w:fldCharType="begin"/>
      </w:r>
      <w:r>
        <w:rPr>
          <w:rFonts w:hint="default"/>
          <w:lang w:val="en-GB"/>
        </w:rPr>
        <w:instrText xml:space="preserve"> HYPERLINK "https://www.middleeastmonitor.com/20250411-israeli-court-rejects-appeal-to-restore-electricity-in-gaza/"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3877AC9">
      <w:pPr>
        <w:spacing w:line="276" w:lineRule="auto"/>
        <w:rPr>
          <w:rFonts w:hint="default"/>
        </w:rPr>
      </w:pPr>
      <w:r>
        <w:rPr>
          <w:rFonts w:hint="default"/>
        </w:rPr>
        <w:t>The Israeli Supreme Court has rejected a petition submitted by the families of Israeli captives, calling on the government to resume the electricity supply to the Gaza Strip, which was halted last month following a government decision, Anadolu reported.</w:t>
      </w:r>
      <w:r>
        <w:rPr>
          <w:rFonts w:hint="default"/>
          <w:lang w:val="en-GB"/>
        </w:rPr>
        <w:t xml:space="preserve"> </w:t>
      </w:r>
      <w:r>
        <w:rPr>
          <w:rFonts w:hint="default"/>
        </w:rPr>
        <w:t>Judge Alex Stein dismissed the petition outright stating that the matter falls entirely within the jurisdiction of the political leadership and is not subject to judicial review. “Israel is under no obligation to supply electricity to Gaza,” he ruled.</w:t>
      </w:r>
      <w:r>
        <w:rPr>
          <w:rFonts w:hint="default"/>
          <w:lang w:val="en-GB"/>
        </w:rPr>
        <w:t xml:space="preserve"> </w:t>
      </w:r>
      <w:r>
        <w:rPr>
          <w:rFonts w:hint="default"/>
        </w:rPr>
        <w:t>Deputy President of the Supreme Court, Judge Noam Sohlberg, also voiced reservations about the petition, warning that even considering it risked implying the issue could be legally contested.</w:t>
      </w:r>
      <w:r>
        <w:rPr>
          <w:rFonts w:hint="default"/>
          <w:lang w:val="en-GB"/>
        </w:rPr>
        <w:t xml:space="preserve"> </w:t>
      </w:r>
      <w:r>
        <w:rPr>
          <w:rFonts w:hint="default"/>
        </w:rPr>
        <w:t>Meanwhile, Israeli Minister of Energy Eli Cohen expressed satisfaction at the court’s decision to reject the petition.</w:t>
      </w:r>
      <w:r>
        <w:rPr>
          <w:rFonts w:hint="default"/>
          <w:lang w:val="en-GB"/>
        </w:rPr>
        <w:t xml:space="preserve"> </w:t>
      </w:r>
      <w:r>
        <w:rPr>
          <w:rFonts w:hint="default"/>
        </w:rPr>
        <w:t>“The decision I led to cut off electricity from Gaza is the right one from a security and moral perspective,” Cohen posted on X on yesterday. “I am glad that the petition to force me to restore the electricity was rejected out of hand.”</w:t>
      </w:r>
      <w:r>
        <w:rPr>
          <w:rFonts w:hint="default"/>
          <w:lang w:val="en-GB"/>
        </w:rPr>
        <w:t xml:space="preserve"> </w:t>
      </w:r>
      <w:r>
        <w:rPr>
          <w:rFonts w:hint="default"/>
        </w:rPr>
        <w:t>Cohen further asserted that “continued pressure” on Hamas would secure the release of Israeli captives and “ensure” Hamas would not be in Gaza afterwards.</w:t>
      </w:r>
      <w:r>
        <w:rPr>
          <w:rFonts w:hint="default"/>
          <w:lang w:val="en-GB"/>
        </w:rPr>
        <w:t xml:space="preserve"> </w:t>
      </w:r>
      <w:r>
        <w:rPr>
          <w:rFonts w:hint="default"/>
        </w:rPr>
        <w:t>On 9 March, Israel cut off the remaining electricity supply to Gaza following what it described as a breach of a truce and prisoner exchange agreement with Hamas, subsequently resuming its military assault on the Strip.</w:t>
      </w:r>
      <w:r>
        <w:rPr>
          <w:rFonts w:hint="default"/>
          <w:lang w:val="en-GB"/>
        </w:rPr>
        <w:t xml:space="preserve"> </w:t>
      </w:r>
      <w:r>
        <w:rPr>
          <w:rFonts w:hint="default"/>
        </w:rPr>
        <w:t>Since it restarted its bombing campaign, Israel has killed more than 1,500 Palestinians in Gaza and injured over 3,650 others.</w:t>
      </w:r>
    </w:p>
    <w:p w14:paraId="0CEF8774">
      <w:pPr>
        <w:pStyle w:val="3"/>
      </w:pPr>
      <w:bookmarkStart w:id="25" w:name="_Toc27197"/>
      <w:r>
        <w:t>Palestine</w:t>
      </w:r>
      <w:bookmarkEnd w:id="25"/>
      <w:r>
        <w:t xml:space="preserve"> </w:t>
      </w:r>
    </w:p>
    <w:p w14:paraId="0469AE51">
      <w:pPr>
        <w:numPr>
          <w:ilvl w:val="0"/>
          <w:numId w:val="1"/>
        </w:numPr>
        <w:spacing w:line="276" w:lineRule="auto"/>
        <w:ind w:left="420" w:leftChars="0" w:hanging="420" w:firstLineChars="0"/>
        <w:rPr>
          <w:rFonts w:hint="default"/>
        </w:rPr>
      </w:pPr>
      <w:bookmarkStart w:id="26" w:name="_Toc18205"/>
      <w:r>
        <w:rPr>
          <w:rStyle w:val="15"/>
          <w:rFonts w:hint="default"/>
        </w:rPr>
        <w:t>Hamas says statements and condemnations are no longer acceptable from Arab and Islamic countries</w:t>
      </w:r>
      <w:r>
        <w:rPr>
          <w:rStyle w:val="15"/>
          <w:rFonts w:hint="default"/>
          <w:lang w:val="en-GB"/>
        </w:rPr>
        <w:t xml:space="preserve"> </w:t>
      </w:r>
      <w:bookmarkEnd w:id="26"/>
      <w:r>
        <w:rPr>
          <w:rFonts w:hint="default"/>
          <w:lang w:val="en-GB"/>
        </w:rPr>
        <w:t xml:space="preserve">- </w:t>
      </w:r>
      <w:r>
        <w:rPr>
          <w:rFonts w:hint="default"/>
          <w:lang w:val="en-GB"/>
        </w:rPr>
        <w:fldChar w:fldCharType="begin"/>
      </w:r>
      <w:r>
        <w:rPr>
          <w:rFonts w:hint="default"/>
          <w:lang w:val="en-GB"/>
        </w:rPr>
        <w:instrText xml:space="preserve"> HYPERLINK "https://www.middleeastmonitor.com/20250410-hamas-says-statements-and-condemnations-are-no-longer-acceptable-from-arab-and-islamic-countries/"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91AB78C">
      <w:pPr>
        <w:spacing w:line="276" w:lineRule="auto"/>
      </w:pPr>
      <w:r>
        <w:rPr>
          <w:rFonts w:hint="default"/>
        </w:rPr>
        <w:t>The Palestinian Islamic Resistance Movement has said that it is “no longer acceptable” for Arab and Islamic countries simply to make “timid statements and condemnations”, at a time when Israel is intensifying its killing in Gaza before the eyes and ears of the world.</w:t>
      </w:r>
      <w:r>
        <w:rPr>
          <w:rFonts w:hint="default"/>
          <w:lang w:val="en-GB"/>
        </w:rPr>
        <w:t xml:space="preserve"> </w:t>
      </w:r>
      <w:r>
        <w:rPr>
          <w:rFonts w:hint="default"/>
        </w:rPr>
        <w:t>“It is also inconceivable that our Palestinian people are being left alone in this fateful confrontation, without real support that rises to the challenge and the magnitude of the crime,” added Hamas in a press statement on Wednesday. The movement pointed out that the Israeli occupation army committed another massacre — described as “one of the most heinous crimes of the genocide” — by bombing a residential area crowded with civilians and displaced persons in the Shujaya district east of Gaza City.</w:t>
      </w:r>
      <w:r>
        <w:rPr>
          <w:rFonts w:hint="default"/>
          <w:lang w:val="en-GB"/>
        </w:rPr>
        <w:t xml:space="preserve"> </w:t>
      </w:r>
      <w:r>
        <w:rPr>
          <w:rFonts w:hint="default"/>
        </w:rPr>
        <w:t>By giving the occupation state its full support, said Hamas, the US is regarded as being complicit as a partner in the aggression against the Palestinians. “This is a stain on the international community, which stands helpless and silent in the face of the most heinous acts of mass murder and genocide. These brutal crimes, committed in full view of the world against innocent, defenceless civilians, with the aim of genocide and sadistic revenge, will not go unpunished, nor will they be forgotten with the passage of time.”</w:t>
      </w:r>
      <w:r>
        <w:rPr>
          <w:rFonts w:hint="default"/>
          <w:lang w:val="en-GB"/>
        </w:rPr>
        <w:t xml:space="preserve"> </w:t>
      </w:r>
      <w:r>
        <w:rPr>
          <w:rFonts w:hint="default"/>
        </w:rPr>
        <w:t>History, said the resistance movement, will hold accountable all of those who remained silent and colluded with the Zionist war criminals. It called on the leaders of Arab and Islamic countries to perform their historical and humanitarian responsibilities and to put every possible pressure on the occupation state and its supporters in Washington to immediately halt the aggression, lift the siege and hold the “war criminals” accountable for their crimes.</w:t>
      </w:r>
      <w:r>
        <w:rPr>
          <w:rFonts w:hint="default"/>
          <w:lang w:val="en-GB"/>
        </w:rPr>
        <w:t xml:space="preserve"> </w:t>
      </w:r>
      <w:r>
        <w:rPr>
          <w:rFonts w:hint="default"/>
        </w:rPr>
        <w:t>Furthermore, Hamas called on countries that still maintain relations with the Zionist occupation state to sever ties and close the embassies of the “Nazi entity” in solidarity with the Palestinian people, who are being subjected to a “brutal Zionist war of annihilation”.</w:t>
      </w:r>
      <w:r>
        <w:rPr>
          <w:rFonts w:hint="default"/>
          <w:lang w:val="en-GB"/>
        </w:rPr>
        <w:t xml:space="preserve"> </w:t>
      </w:r>
      <w:r>
        <w:rPr>
          <w:rFonts w:hint="default"/>
        </w:rPr>
        <w:t>The movement also called on the masses in the Arab and Islamic nations and the free people of the world to continue their support for Gaza, and even escalate and intensify it until the Gaza Genocide ends.</w:t>
      </w:r>
    </w:p>
    <w:p w14:paraId="22AA2D8F">
      <w:pPr>
        <w:pStyle w:val="3"/>
      </w:pPr>
      <w:bookmarkStart w:id="27" w:name="_Toc18026"/>
      <w:r>
        <w:t>Turkey</w:t>
      </w:r>
      <w:bookmarkEnd w:id="27"/>
    </w:p>
    <w:p w14:paraId="145D2464">
      <w:pPr>
        <w:numPr>
          <w:ilvl w:val="0"/>
          <w:numId w:val="1"/>
        </w:numPr>
        <w:spacing w:line="276" w:lineRule="auto"/>
        <w:ind w:left="420" w:leftChars="0" w:hanging="420" w:firstLineChars="0"/>
        <w:rPr>
          <w:rFonts w:hint="default"/>
        </w:rPr>
      </w:pPr>
      <w:bookmarkStart w:id="28" w:name="_Toc30761"/>
      <w:r>
        <w:rPr>
          <w:rStyle w:val="15"/>
          <w:rFonts w:hint="default"/>
        </w:rPr>
        <w:t>Turkiye, Israel have begun talks to avoid clashes in Syria, sources say</w:t>
      </w:r>
      <w:bookmarkEnd w:id="28"/>
      <w:r>
        <w:rPr>
          <w:rFonts w:hint="default"/>
          <w:lang w:val="en-GB"/>
        </w:rPr>
        <w:t xml:space="preserve"> - </w:t>
      </w:r>
      <w:r>
        <w:rPr>
          <w:rFonts w:hint="default"/>
          <w:lang w:val="en-GB"/>
        </w:rPr>
        <w:fldChar w:fldCharType="begin"/>
      </w:r>
      <w:r>
        <w:rPr>
          <w:rFonts w:hint="default"/>
          <w:lang w:val="en-GB"/>
        </w:rPr>
        <w:instrText xml:space="preserve"> HYPERLINK "https://www.middleeastmonitor.com/20250410-turkiye-israel-have-begun-talks-to-avoid-clashes-in-syria-sources-say/"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D7EAEF1">
      <w:pPr>
        <w:spacing w:line="276" w:lineRule="auto"/>
      </w:pPr>
      <w:r>
        <w:rPr>
          <w:rFonts w:hint="default"/>
        </w:rPr>
        <w:t>Turkish and Israeli officials began talks yesterday aimed at preventing unwanted incidents in Syria, where militaries of the two regional powers are active, Turkish ministry sources and an Israeli political source said, according to Reuters.</w:t>
      </w:r>
      <w:r>
        <w:rPr>
          <w:rFonts w:hint="default"/>
          <w:lang w:val="en-GB"/>
        </w:rPr>
        <w:t xml:space="preserve"> </w:t>
      </w:r>
      <w:r>
        <w:rPr>
          <w:rFonts w:hint="default"/>
        </w:rPr>
        <w:t>The Turkish sources said the technical talks, in Azerbaijan, marked the beginning of efforts to set up a channel to avoid potential clashes or misunderstandings over military operations in the region.</w:t>
      </w:r>
      <w:r>
        <w:rPr>
          <w:rFonts w:hint="default"/>
          <w:lang w:val="en-GB"/>
        </w:rPr>
        <w:t xml:space="preserve"> </w:t>
      </w:r>
      <w:r>
        <w:rPr>
          <w:rFonts w:hint="default"/>
        </w:rPr>
        <w:t>“Efforts will continue to establish this mechanism,” one of the Turkish sources said, without providing further details on the scope or timeline of the talks.</w:t>
      </w:r>
      <w:r>
        <w:rPr>
          <w:rFonts w:hint="default"/>
          <w:lang w:val="en-GB"/>
        </w:rPr>
        <w:t xml:space="preserve"> </w:t>
      </w:r>
      <w:r>
        <w:rPr>
          <w:rFonts w:hint="default"/>
        </w:rPr>
        <w:t>An Israeli political source confirmed the meeting took place and said that “Israel made it unequivocally clear that any change in the deployment of foreign forces in Syria – and in particular the establishment of Turkish bases in the Palmyra area – is a red line and will be considered a breaking of the rules.”</w:t>
      </w:r>
      <w:r>
        <w:rPr>
          <w:rFonts w:hint="default"/>
          <w:lang w:val="en-GB"/>
        </w:rPr>
        <w:t xml:space="preserve"> </w:t>
      </w:r>
      <w:r>
        <w:rPr>
          <w:rFonts w:hint="default"/>
        </w:rPr>
        <w:t>In a statement, Israeli Prime Minister Benjamin Netanyahu’s office confirmed that an Israeli delegation led by National Security Advisor Tzachi Hanegbi had held talks with Turkish officials in Azerbaijan yesterday. No details were given about the talks.</w:t>
      </w:r>
      <w:r>
        <w:rPr>
          <w:rFonts w:hint="default"/>
          <w:lang w:val="en-GB"/>
        </w:rPr>
        <w:t xml:space="preserve"> </w:t>
      </w:r>
      <w:r>
        <w:rPr>
          <w:rFonts w:hint="default"/>
        </w:rPr>
        <w:t>The initiative comes a week after Israel stepped up air strikes on Syria, which it described as a warning to the newly formed government in Damascus. It has also accused Turkiye of attempting to turn Syria into a Turkish protectorate.</w:t>
      </w:r>
      <w:r>
        <w:rPr>
          <w:rFonts w:hint="default"/>
          <w:lang w:val="en-GB"/>
        </w:rPr>
        <w:t xml:space="preserve"> </w:t>
      </w:r>
      <w:r>
        <w:rPr>
          <w:rFonts w:hint="default"/>
        </w:rPr>
        <w:t>Reuters reported last week that Turkish military teams had inspected at least three air bases in Syria where they could deploy forces as part of a planned joint defence pact with Damascus – before Israel hit the sites with air strikes.</w:t>
      </w:r>
      <w:r>
        <w:rPr>
          <w:rFonts w:hint="default"/>
          <w:lang w:val="en-GB"/>
        </w:rPr>
        <w:t xml:space="preserve"> </w:t>
      </w:r>
      <w:r>
        <w:rPr>
          <w:rFonts w:hint="default"/>
        </w:rPr>
        <w:t>Turkey and Israel each said last week they did not seek confrontation in Syria, which both border.</w:t>
      </w:r>
      <w:r>
        <w:rPr>
          <w:rFonts w:hint="default"/>
          <w:lang w:val="en-GB"/>
        </w:rPr>
        <w:t xml:space="preserve"> </w:t>
      </w:r>
      <w:r>
        <w:rPr>
          <w:rFonts w:hint="default"/>
        </w:rPr>
        <w:t>Turkish Foreign Minister Hakan Fidan confirmed yesterday that technical talks were taking place, emphasising that such mechanisms were necessary to prevent misunderstandings between the two regional powers’ forces.</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29" w:name="_Toc16295"/>
      <w:r>
        <w:rPr>
          <w:rFonts w:eastAsia="DengXian Light" w:cs="Times New Roman"/>
          <w:b/>
          <w:bCs/>
          <w:color w:val="2F5496"/>
          <w:szCs w:val="24"/>
          <w:u w:val="single"/>
        </w:rPr>
        <w:t>Global Powers</w:t>
      </w:r>
      <w:bookmarkEnd w:id="29"/>
    </w:p>
    <w:p w14:paraId="36D0E9D5">
      <w:pPr>
        <w:pStyle w:val="3"/>
        <w:spacing w:line="276" w:lineRule="auto"/>
        <w:rPr>
          <w:lang w:eastAsia="zh-CN"/>
        </w:rPr>
      </w:pPr>
      <w:bookmarkStart w:id="30" w:name="_Toc20460"/>
      <w:r>
        <w:rPr>
          <w:rFonts w:hint="default"/>
          <w:lang w:val="en-GB" w:eastAsia="zh-CN"/>
        </w:rPr>
        <w:t>US</w:t>
      </w:r>
      <w:bookmarkEnd w:id="30"/>
      <w:r>
        <w:rPr>
          <w:lang w:eastAsia="zh-CN"/>
        </w:rPr>
        <w:t xml:space="preserve"> </w:t>
      </w:r>
    </w:p>
    <w:p w14:paraId="29F481C9">
      <w:pPr>
        <w:numPr>
          <w:ilvl w:val="0"/>
          <w:numId w:val="1"/>
        </w:numPr>
        <w:spacing w:line="276" w:lineRule="auto"/>
        <w:ind w:left="420" w:leftChars="0" w:hanging="420" w:firstLineChars="0"/>
        <w:rPr>
          <w:rFonts w:hint="default"/>
        </w:rPr>
      </w:pPr>
      <w:bookmarkStart w:id="31" w:name="_Toc13325"/>
      <w:r>
        <w:rPr>
          <w:rStyle w:val="15"/>
          <w:rFonts w:hint="default"/>
        </w:rPr>
        <w:t>U.S., Russia say progress made during 2nd round of talks in Istanbul</w:t>
      </w:r>
      <w:bookmarkEnd w:id="31"/>
      <w:r>
        <w:rPr>
          <w:rFonts w:hint="default"/>
          <w:lang w:val="en-GB"/>
        </w:rPr>
        <w:t xml:space="preserve"> - </w:t>
      </w:r>
      <w:r>
        <w:rPr>
          <w:rFonts w:hint="default"/>
        </w:rPr>
        <w:fldChar w:fldCharType="begin"/>
      </w:r>
      <w:r>
        <w:rPr>
          <w:rFonts w:hint="default"/>
        </w:rPr>
        <w:instrText xml:space="preserve"> HYPERLINK "https://news.cgtn.com/news/2025-04-11/U-S-Russia-progress-made-during-2nd-round-of-talks-in-Istanbul-1CtAtKMF3Ik/p.html" </w:instrText>
      </w:r>
      <w:r>
        <w:rPr>
          <w:rFonts w:hint="default"/>
        </w:rPr>
        <w:fldChar w:fldCharType="separate"/>
      </w:r>
      <w:r>
        <w:rPr>
          <w:rStyle w:val="10"/>
          <w:rFonts w:hint="default"/>
        </w:rPr>
        <w:t>CGTN</w:t>
      </w:r>
      <w:r>
        <w:rPr>
          <w:rFonts w:hint="default"/>
        </w:rPr>
        <w:fldChar w:fldCharType="end"/>
      </w:r>
    </w:p>
    <w:p w14:paraId="3B7F4F5B">
      <w:pPr>
        <w:spacing w:line="276" w:lineRule="auto"/>
        <w:rPr>
          <w:rFonts w:hint="default"/>
        </w:rPr>
      </w:pPr>
      <w:r>
        <w:rPr>
          <w:rFonts w:hint="default"/>
        </w:rPr>
        <w:t>The United States and Russia both said on Thursday that they had made progress toward normalizing the work of their diplomatic missions, as they finished their second round of talks on restoring diplomatic missions in Türkiye's largest city, Istanbul.</w:t>
      </w:r>
      <w:r>
        <w:rPr>
          <w:rFonts w:hint="default"/>
          <w:lang w:val="en-GB"/>
        </w:rPr>
        <w:t xml:space="preserve"> </w:t>
      </w:r>
      <w:r>
        <w:rPr>
          <w:rFonts w:hint="default"/>
        </w:rPr>
        <w:t>The talks were led by Deputy Assistant Secretary of State for Russia and Central Europe Sonata Coulter and Russia's new ambassador to Washington, Alexander Darchiev. The meeting of the U.S. and Russian delegations in Istanbul followed initial talks in February.</w:t>
      </w:r>
      <w:r>
        <w:rPr>
          <w:rFonts w:hint="default"/>
          <w:lang w:val="en-GB"/>
        </w:rPr>
        <w:t xml:space="preserve"> </w:t>
      </w:r>
      <w:r>
        <w:rPr>
          <w:rFonts w:hint="default"/>
        </w:rPr>
        <w:t>The U.S. delegation left the Russian consulate in Istanbul on Thursday afternoon, following approximately five hours of meetings with the Russian side.</w:t>
      </w:r>
      <w:r>
        <w:rPr>
          <w:rFonts w:hint="default"/>
          <w:lang w:val="en-GB"/>
        </w:rPr>
        <w:t xml:space="preserve"> </w:t>
      </w:r>
      <w:r>
        <w:rPr>
          <w:rFonts w:hint="default"/>
        </w:rPr>
        <w:t>The Russian consulate in Istanbul in a press release said that progress has been made on ensuring banking and financial services for Russian and U.S. diplomatic missions during the second round of bilateral talks in Istanbul.</w:t>
      </w:r>
      <w:r>
        <w:rPr>
          <w:rFonts w:hint="default"/>
          <w:lang w:val="en-GB"/>
        </w:rPr>
        <w:t xml:space="preserve"> </w:t>
      </w:r>
      <w:r>
        <w:rPr>
          <w:rFonts w:hint="default"/>
        </w:rPr>
        <w:t>Delegations from the two countries "exchanged diplomatic notes to formalize agreed commitments. These commitments are designed to facilitate unimpeded banking and financial services for Russian and American diplomatic missions, in addition to ensuring the fulfillment of the Russian Federation's contributions to the budgets of the UN and other international organizations," the statement read.</w:t>
      </w:r>
      <w:r>
        <w:rPr>
          <w:rFonts w:hint="default"/>
          <w:lang w:val="en-GB"/>
        </w:rPr>
        <w:t xml:space="preserve"> </w:t>
      </w:r>
      <w:r>
        <w:rPr>
          <w:rFonts w:hint="default"/>
        </w:rPr>
        <w:t>The two sides "agreed to develop a roadmap" regarding the return of six diplomatic real estate properties confiscated by U.S. authorities and lawfully owned by Russia, the consulate said.</w:t>
      </w:r>
      <w:r>
        <w:rPr>
          <w:rFonts w:hint="default"/>
          <w:lang w:val="en-GB"/>
        </w:rPr>
        <w:t xml:space="preserve"> </w:t>
      </w:r>
      <w:r>
        <w:rPr>
          <w:rFonts w:hint="default"/>
        </w:rPr>
        <w:t>They also discussed "easing visa processing and travel regulations for diplomatic staff within the host countries," it said, adding that the Russian side urged promoting the resumption of direct air flights between the two countries.</w:t>
      </w:r>
      <w:r>
        <w:rPr>
          <w:rFonts w:hint="default"/>
          <w:lang w:val="en-GB"/>
        </w:rPr>
        <w:t xml:space="preserve"> </w:t>
      </w:r>
      <w:r>
        <w:rPr>
          <w:rFonts w:hint="default"/>
        </w:rPr>
        <w:t>The timing of the next round of talks is "currently under coordination," it added.</w:t>
      </w:r>
      <w:r>
        <w:rPr>
          <w:rFonts w:hint="default"/>
          <w:lang w:val="en-GB"/>
        </w:rPr>
        <w:t xml:space="preserve"> </w:t>
      </w:r>
      <w:r>
        <w:rPr>
          <w:rFonts w:hint="default"/>
        </w:rPr>
        <w:t>The U.S. State Department in its statement said Thursday's talks continued "the constructive approach" established in the February 27 meeting.</w:t>
      </w:r>
      <w:r>
        <w:rPr>
          <w:rFonts w:hint="default"/>
          <w:lang w:val="en-GB"/>
        </w:rPr>
        <w:t xml:space="preserve"> </w:t>
      </w:r>
      <w:r>
        <w:rPr>
          <w:rFonts w:hint="default"/>
        </w:rPr>
        <w:t>However the U.S. said it was still concerned about a Russian policy prohibiting the employment of local staff.</w:t>
      </w:r>
      <w:r>
        <w:rPr>
          <w:rFonts w:hint="default"/>
          <w:lang w:val="en-GB"/>
        </w:rPr>
        <w:t xml:space="preserve"> </w:t>
      </w:r>
      <w:r>
        <w:rPr>
          <w:rFonts w:hint="default"/>
        </w:rPr>
        <w:t>U.S. State Department spokesperson Tammy Bruce had said on Tuesday that Ukraine was not on the agenda.</w:t>
      </w:r>
      <w:r>
        <w:rPr>
          <w:rFonts w:hint="default"/>
          <w:lang w:val="en-GB"/>
        </w:rPr>
        <w:t xml:space="preserve"> </w:t>
      </w:r>
      <w:r>
        <w:rPr>
          <w:rFonts w:hint="default"/>
        </w:rPr>
        <w:t>In recent years, Washington and Moscow have expelled numerous diplomats from each other's country, significantly hindering the ability of their diplomatic missions to function effectively.</w:t>
      </w:r>
    </w:p>
    <w:p w14:paraId="42564140">
      <w:pPr>
        <w:numPr>
          <w:ilvl w:val="0"/>
          <w:numId w:val="1"/>
        </w:numPr>
        <w:spacing w:line="276" w:lineRule="auto"/>
        <w:ind w:left="420" w:leftChars="0" w:hanging="420" w:firstLineChars="0"/>
        <w:rPr>
          <w:rFonts w:hint="default"/>
        </w:rPr>
      </w:pPr>
      <w:bookmarkStart w:id="32" w:name="_Toc11598"/>
      <w:r>
        <w:rPr>
          <w:rStyle w:val="15"/>
          <w:rFonts w:hint="default"/>
        </w:rPr>
        <w:t>Total US tariffs on Chinese imports now at 145%: White House official</w:t>
      </w:r>
      <w:bookmarkEnd w:id="32"/>
      <w:r>
        <w:rPr>
          <w:rFonts w:hint="default"/>
          <w:lang w:val="en-GB"/>
        </w:rPr>
        <w:t xml:space="preserve"> - </w:t>
      </w:r>
      <w:r>
        <w:rPr>
          <w:rFonts w:hint="default"/>
          <w:lang w:val="en-GB"/>
        </w:rPr>
        <w:fldChar w:fldCharType="begin"/>
      </w:r>
      <w:r>
        <w:rPr>
          <w:rFonts w:hint="default"/>
          <w:lang w:val="en-GB"/>
        </w:rPr>
        <w:instrText xml:space="preserve"> HYPERLINK "https://www.middleeastmonitor.com/20250410-total-us-tariffs-on-chinese-imports-now-at-145-white-house-official/"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B5B725F">
      <w:pPr>
        <w:spacing w:line="276" w:lineRule="auto"/>
        <w:rPr>
          <w:rFonts w:hint="default"/>
        </w:rPr>
      </w:pPr>
      <w:r>
        <w:rPr>
          <w:rFonts w:hint="default"/>
        </w:rPr>
        <w:t>US tariffs on Chinese imports now total 145% after President Donald Trump dramatically increased import duties this week, a White House official confirmed Thursday, Anadolu reports.</w:t>
      </w:r>
      <w:r>
        <w:rPr>
          <w:rFonts w:hint="default"/>
          <w:lang w:val="en-GB"/>
        </w:rPr>
        <w:t xml:space="preserve"> </w:t>
      </w:r>
      <w:r>
        <w:rPr>
          <w:rFonts w:hint="default"/>
        </w:rPr>
        <w:t>Trump said Wednesday that Chinese imports would now be subject to a 125% reciprocal tariff, but that did not include a 20% tariff related to fentanyl that he had previously imposed earlier this year.</w:t>
      </w:r>
      <w:r>
        <w:rPr>
          <w:rFonts w:hint="default"/>
          <w:lang w:val="en-GB"/>
        </w:rPr>
        <w:t xml:space="preserve"> </w:t>
      </w:r>
      <w:r>
        <w:rPr>
          <w:rFonts w:hint="default"/>
        </w:rPr>
        <w:t>“When POTUS and we were talking about 125%, that only referred to the total reciprocal tariff. The fentanyl tariffs of 20% tack onto those,” a White House official told Anadolu, referring to Trump by an acronym.</w:t>
      </w:r>
      <w:r>
        <w:rPr>
          <w:rFonts w:hint="default"/>
          <w:lang w:val="en-GB"/>
        </w:rPr>
        <w:t xml:space="preserve"> </w:t>
      </w:r>
      <w:r>
        <w:rPr>
          <w:rFonts w:hint="default"/>
        </w:rPr>
        <w:t>Markets soared Wednesday as Trump granted dozens of nations a 90-day reprieve from tariffs above his 10% baseline that were supposed to go into effect that day. But fears that the US and China, the world’s top two economies, are slipping into an intensifying trade war brought markets lower Thursday.</w:t>
      </w:r>
      <w:r>
        <w:rPr>
          <w:rFonts w:hint="default"/>
          <w:lang w:val="en-GB"/>
        </w:rPr>
        <w:t xml:space="preserve"> </w:t>
      </w:r>
      <w:r>
        <w:rPr>
          <w:rFonts w:hint="default"/>
        </w:rPr>
        <w:t>The tech-heavy Nasdaq was down more than 4.6% while the Dow dipped over 3% in morning trading.</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April 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2D9E604"/>
    <w:multiLevelType w:val="singleLevel"/>
    <w:tmpl w:val="12D9E604"/>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7092F"/>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6870B46"/>
    <w:rsid w:val="08057217"/>
    <w:rsid w:val="082A6FA6"/>
    <w:rsid w:val="08A317E2"/>
    <w:rsid w:val="08A66900"/>
    <w:rsid w:val="0BCD220D"/>
    <w:rsid w:val="0EBC084F"/>
    <w:rsid w:val="0EF05944"/>
    <w:rsid w:val="123267B2"/>
    <w:rsid w:val="13800188"/>
    <w:rsid w:val="1461586F"/>
    <w:rsid w:val="17123F41"/>
    <w:rsid w:val="17930AD8"/>
    <w:rsid w:val="18EF75D8"/>
    <w:rsid w:val="1A530291"/>
    <w:rsid w:val="1A597455"/>
    <w:rsid w:val="1B5C1805"/>
    <w:rsid w:val="1BD000FF"/>
    <w:rsid w:val="1CD77CF3"/>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B13CF4"/>
    <w:rsid w:val="69930212"/>
    <w:rsid w:val="69EA7AAD"/>
    <w:rsid w:val="6C490915"/>
    <w:rsid w:val="6D7A4A5A"/>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Pages>
  <Words>340</Words>
  <Characters>1939</Characters>
  <Lines>16</Lines>
  <Paragraphs>4</Paragraphs>
  <TotalTime>36</TotalTime>
  <ScaleCrop>false</ScaleCrop>
  <LinksUpToDate>false</LinksUpToDate>
  <CharactersWithSpaces>2275</CharactersWithSpaces>
  <Application>WPS Office_12.2.0.20782_F1E327BC-269C-435d-A152-05C5408002CA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2025-04-11T12:00:10Z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2057-12.2.0.20782</vt:lpwstr>
  </property>
  <property fmtid="{D5CDD505-2E9C-101B-9397-08002B2CF9AE}" pid="3" name="ICV">
    <vt:lpwstr>9D29D332208C406B86D92F4478697B9C_13</vt:lpwstr>
  </property>
</Properties>
</file>