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49F19B7">
      <w:pPr>
        <w:pStyle w:val="12"/>
        <w:spacing w:line="276" w:lineRule="auto"/>
        <w:jc w:val="center"/>
        <w:rPr>
          <w:rFonts w:ascii="Times New Roman" w:hAnsi="Times New Roman" w:cs="Times New Roman"/>
          <w:sz w:val="40"/>
          <w:szCs w:val="40"/>
        </w:rPr>
      </w:pPr>
      <w:r>
        <w:rPr>
          <w:rFonts w:ascii="Times New Roman" w:hAnsi="Times New Roman" w:cs="Times New Roman"/>
          <w:sz w:val="40"/>
          <w:szCs w:val="40"/>
        </w:rPr>
        <w:t xml:space="preserve">News Highlights – </w:t>
      </w:r>
      <w:r>
        <w:rPr>
          <w:rFonts w:hint="default" w:ascii="Times New Roman" w:hAnsi="Times New Roman" w:cs="Times New Roman"/>
          <w:sz w:val="40"/>
          <w:szCs w:val="40"/>
          <w:lang w:val="en-GB"/>
        </w:rPr>
        <w:t>Thursday, October 2, 2025</w:t>
      </w:r>
    </w:p>
    <w:sdt>
      <w:sdtPr>
        <w:rPr>
          <w:rFonts w:eastAsia="SimSun" w:cs="Times New Roman"/>
          <w:szCs w:val="24"/>
        </w:rPr>
        <w:id w:val="147471055"/>
        <w:docPartObj>
          <w:docPartGallery w:val="Table of Contents"/>
          <w:docPartUnique/>
        </w:docPartObj>
      </w:sdtPr>
      <w:sdtEndPr>
        <w:rPr>
          <w:rFonts w:eastAsia="Calibri" w:cs="Times New Roman"/>
          <w:szCs w:val="24"/>
        </w:rPr>
      </w:sdtEndPr>
      <w:sdtContent>
        <w:p w14:paraId="06AA3B41">
          <w:pPr>
            <w:spacing w:line="276" w:lineRule="auto"/>
            <w:jc w:val="center"/>
            <w:rPr>
              <w:rFonts w:cs="Times New Roman"/>
              <w:szCs w:val="24"/>
            </w:rPr>
          </w:pPr>
          <w:r>
            <w:rPr>
              <w:rStyle w:val="10"/>
              <w:rFonts w:cs="Times New Roman"/>
              <w:b/>
              <w:bCs/>
              <w:szCs w:val="24"/>
            </w:rPr>
            <w:t>News Contents</w:t>
          </w:r>
        </w:p>
        <w:p w14:paraId="303DED61">
          <w:pPr>
            <w:pStyle w:val="13"/>
            <w:tabs>
              <w:tab w:val="right" w:leader="dot" w:pos="8640"/>
            </w:tabs>
          </w:pPr>
          <w:bookmarkStart w:id="31" w:name="_GoBack"/>
          <w:bookmarkEnd w:id="31"/>
          <w:r>
            <w:rPr>
              <w:rFonts w:eastAsia="Calibri" w:cs="Times New Roman"/>
              <w:szCs w:val="24"/>
            </w:rPr>
            <w:fldChar w:fldCharType="begin"/>
          </w:r>
          <w:r>
            <w:rPr>
              <w:rFonts w:eastAsia="Calibri" w:cs="Times New Roman"/>
              <w:szCs w:val="24"/>
            </w:rPr>
            <w:instrText xml:space="preserve">TOC \o "1-2" \h \u </w:instrText>
          </w:r>
          <w:r>
            <w:rPr>
              <w:rFonts w:eastAsia="Calibri" w:cs="Times New Roman"/>
              <w:szCs w:val="24"/>
            </w:rPr>
            <w:fldChar w:fldCharType="separate"/>
          </w:r>
          <w:r>
            <w:rPr>
              <w:rFonts w:eastAsia="Calibri" w:cs="Times New Roman"/>
              <w:szCs w:val="24"/>
            </w:rPr>
            <w:fldChar w:fldCharType="begin"/>
          </w:r>
          <w:r>
            <w:rPr>
              <w:rFonts w:eastAsia="Calibri" w:cs="Times New Roman"/>
              <w:szCs w:val="24"/>
            </w:rPr>
            <w:instrText xml:space="preserve"> HYPERLINK \l _Toc27065 </w:instrText>
          </w:r>
          <w:r>
            <w:rPr>
              <w:rFonts w:eastAsia="Calibri" w:cs="Times New Roman"/>
              <w:szCs w:val="24"/>
            </w:rPr>
            <w:fldChar w:fldCharType="separate"/>
          </w:r>
          <w:r>
            <w:rPr>
              <w:rFonts w:eastAsia="DengXian Light" w:cs="Times New Roman"/>
              <w:bCs/>
              <w:szCs w:val="24"/>
            </w:rPr>
            <w:t>Ethiopia</w:t>
          </w:r>
          <w:r>
            <w:tab/>
          </w:r>
          <w:r>
            <w:fldChar w:fldCharType="begin"/>
          </w:r>
          <w:r>
            <w:instrText xml:space="preserve"> PAGEREF _Toc27065 \h </w:instrText>
          </w:r>
          <w:r>
            <w:fldChar w:fldCharType="separate"/>
          </w:r>
          <w:r>
            <w:t>3</w:t>
          </w:r>
          <w:r>
            <w:fldChar w:fldCharType="end"/>
          </w:r>
          <w:r>
            <w:rPr>
              <w:rFonts w:eastAsia="Calibri" w:cs="Times New Roman"/>
              <w:szCs w:val="24"/>
            </w:rPr>
            <w:fldChar w:fldCharType="end"/>
          </w:r>
        </w:p>
        <w:p w14:paraId="6F7BEEFA">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_Toc6530 </w:instrText>
          </w:r>
          <w:r>
            <w:rPr>
              <w:rFonts w:eastAsia="Calibri" w:cs="Times New Roman"/>
              <w:szCs w:val="24"/>
            </w:rPr>
            <w:fldChar w:fldCharType="separate"/>
          </w:r>
          <w:r>
            <w:rPr>
              <w:rFonts w:hint="default" w:ascii="Wingdings" w:hAnsi="Wingdings"/>
              <w:szCs w:val="16"/>
              <w:lang w:val="en-GB"/>
            </w:rPr>
            <w:t xml:space="preserve"> </w:t>
          </w:r>
          <w:r>
            <w:rPr>
              <w:rFonts w:hint="default"/>
            </w:rPr>
            <w:t>ENDF says denying Red Sea and Assab Port claim amounts to “banditry”</w:t>
          </w:r>
          <w:r>
            <w:tab/>
          </w:r>
          <w:r>
            <w:fldChar w:fldCharType="begin"/>
          </w:r>
          <w:r>
            <w:instrText xml:space="preserve"> PAGEREF _Toc6530 \h </w:instrText>
          </w:r>
          <w:r>
            <w:fldChar w:fldCharType="separate"/>
          </w:r>
          <w:r>
            <w:t>3</w:t>
          </w:r>
          <w:r>
            <w:fldChar w:fldCharType="end"/>
          </w:r>
          <w:r>
            <w:rPr>
              <w:rFonts w:eastAsia="Calibri" w:cs="Times New Roman"/>
              <w:szCs w:val="24"/>
            </w:rPr>
            <w:fldChar w:fldCharType="end"/>
          </w:r>
        </w:p>
        <w:p w14:paraId="7F7B3CE9">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_Toc8206 </w:instrText>
          </w:r>
          <w:r>
            <w:rPr>
              <w:rFonts w:eastAsia="Calibri" w:cs="Times New Roman"/>
              <w:szCs w:val="24"/>
            </w:rPr>
            <w:fldChar w:fldCharType="separate"/>
          </w:r>
          <w:r>
            <w:rPr>
              <w:rFonts w:hint="default" w:ascii="Wingdings" w:hAnsi="Wingdings"/>
              <w:szCs w:val="16"/>
              <w:lang w:val="en-GB"/>
            </w:rPr>
            <w:t xml:space="preserve"> </w:t>
          </w:r>
          <w:r>
            <w:rPr>
              <w:rFonts w:hint="default"/>
            </w:rPr>
            <w:t>TPLF accuses guarantors of Pretoria Agreement of inaction, warns of ‘silent genocide’ in Tigray</w:t>
          </w:r>
          <w:r>
            <w:tab/>
          </w:r>
          <w:r>
            <w:fldChar w:fldCharType="begin"/>
          </w:r>
          <w:r>
            <w:instrText xml:space="preserve"> PAGEREF _Toc8206 \h </w:instrText>
          </w:r>
          <w:r>
            <w:fldChar w:fldCharType="separate"/>
          </w:r>
          <w:r>
            <w:t>4</w:t>
          </w:r>
          <w:r>
            <w:fldChar w:fldCharType="end"/>
          </w:r>
          <w:r>
            <w:rPr>
              <w:rFonts w:eastAsia="Calibri" w:cs="Times New Roman"/>
              <w:szCs w:val="24"/>
            </w:rPr>
            <w:fldChar w:fldCharType="end"/>
          </w:r>
        </w:p>
        <w:p w14:paraId="56EA8E5A">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_Toc11938 </w:instrText>
          </w:r>
          <w:r>
            <w:rPr>
              <w:rFonts w:eastAsia="Calibri" w:cs="Times New Roman"/>
              <w:szCs w:val="24"/>
            </w:rPr>
            <w:fldChar w:fldCharType="separate"/>
          </w:r>
          <w:r>
            <w:rPr>
              <w:rFonts w:hint="default" w:ascii="Wingdings" w:hAnsi="Wingdings"/>
              <w:szCs w:val="16"/>
              <w:lang w:val="en-GB"/>
            </w:rPr>
            <w:t xml:space="preserve"> </w:t>
          </w:r>
          <w:r>
            <w:rPr>
              <w:rFonts w:hint="default"/>
            </w:rPr>
            <w:t>TPLF vows crackdown on media it says ‘fuels division’ in Tigray, journalists warn of press freedom threat</w:t>
          </w:r>
          <w:r>
            <w:rPr>
              <w:rFonts w:hint="default"/>
              <w:lang w:val="en-GB"/>
            </w:rPr>
            <w:t xml:space="preserve"> </w:t>
          </w:r>
          <w:r>
            <w:tab/>
          </w:r>
          <w:r>
            <w:fldChar w:fldCharType="begin"/>
          </w:r>
          <w:r>
            <w:instrText xml:space="preserve"> PAGEREF _Toc11938 \h </w:instrText>
          </w:r>
          <w:r>
            <w:fldChar w:fldCharType="separate"/>
          </w:r>
          <w:r>
            <w:t>5</w:t>
          </w:r>
          <w:r>
            <w:fldChar w:fldCharType="end"/>
          </w:r>
          <w:r>
            <w:rPr>
              <w:rFonts w:eastAsia="Calibri" w:cs="Times New Roman"/>
              <w:szCs w:val="24"/>
            </w:rPr>
            <w:fldChar w:fldCharType="end"/>
          </w:r>
        </w:p>
        <w:p w14:paraId="62D91A73">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_Toc12399 </w:instrText>
          </w:r>
          <w:r>
            <w:rPr>
              <w:rFonts w:eastAsia="Calibri" w:cs="Times New Roman"/>
              <w:szCs w:val="24"/>
            </w:rPr>
            <w:fldChar w:fldCharType="separate"/>
          </w:r>
          <w:r>
            <w:rPr>
              <w:rFonts w:hint="default" w:ascii="Wingdings" w:hAnsi="Wingdings"/>
              <w:szCs w:val="16"/>
              <w:lang w:val="en-GB"/>
            </w:rPr>
            <w:t xml:space="preserve"> </w:t>
          </w:r>
          <w:r>
            <w:rPr>
              <w:rFonts w:hint="default"/>
            </w:rPr>
            <w:t>World Bank Pledges Continued Support for Ethiopia’s Reform Agenda</w:t>
          </w:r>
          <w:r>
            <w:tab/>
          </w:r>
          <w:r>
            <w:fldChar w:fldCharType="begin"/>
          </w:r>
          <w:r>
            <w:instrText xml:space="preserve"> PAGEREF _Toc12399 \h </w:instrText>
          </w:r>
          <w:r>
            <w:fldChar w:fldCharType="separate"/>
          </w:r>
          <w:r>
            <w:t>6</w:t>
          </w:r>
          <w:r>
            <w:fldChar w:fldCharType="end"/>
          </w:r>
          <w:r>
            <w:rPr>
              <w:rFonts w:eastAsia="Calibri" w:cs="Times New Roman"/>
              <w:szCs w:val="24"/>
            </w:rPr>
            <w:fldChar w:fldCharType="end"/>
          </w:r>
        </w:p>
        <w:p w14:paraId="2C6BDE95">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_Toc9689 </w:instrText>
          </w:r>
          <w:r>
            <w:rPr>
              <w:rFonts w:eastAsia="Calibri" w:cs="Times New Roman"/>
              <w:szCs w:val="24"/>
            </w:rPr>
            <w:fldChar w:fldCharType="separate"/>
          </w:r>
          <w:r>
            <w:rPr>
              <w:rFonts w:hint="default" w:ascii="Wingdings" w:hAnsi="Wingdings"/>
              <w:szCs w:val="16"/>
              <w:lang w:val="en-GB"/>
            </w:rPr>
            <w:t xml:space="preserve"> </w:t>
          </w:r>
          <w:r>
            <w:rPr>
              <w:rFonts w:hint="default"/>
            </w:rPr>
            <w:t>Ethiopian Diaspora Actively Participating in Agenda Gathering Process: National Dialogue Commission</w:t>
          </w:r>
          <w:r>
            <w:tab/>
          </w:r>
          <w:r>
            <w:fldChar w:fldCharType="begin"/>
          </w:r>
          <w:r>
            <w:instrText xml:space="preserve"> PAGEREF _Toc9689 \h </w:instrText>
          </w:r>
          <w:r>
            <w:fldChar w:fldCharType="separate"/>
          </w:r>
          <w:r>
            <w:t>6</w:t>
          </w:r>
          <w:r>
            <w:fldChar w:fldCharType="end"/>
          </w:r>
          <w:r>
            <w:rPr>
              <w:rFonts w:eastAsia="Calibri" w:cs="Times New Roman"/>
              <w:szCs w:val="24"/>
            </w:rPr>
            <w:fldChar w:fldCharType="end"/>
          </w:r>
        </w:p>
        <w:p w14:paraId="6A4DC501">
          <w:pPr>
            <w:pStyle w:val="13"/>
            <w:tabs>
              <w:tab w:val="right" w:leader="dot" w:pos="8640"/>
            </w:tabs>
          </w:pPr>
          <w:r>
            <w:rPr>
              <w:rFonts w:eastAsia="Calibri" w:cs="Times New Roman"/>
              <w:szCs w:val="24"/>
            </w:rPr>
            <w:fldChar w:fldCharType="begin"/>
          </w:r>
          <w:r>
            <w:rPr>
              <w:rFonts w:eastAsia="Calibri" w:cs="Times New Roman"/>
              <w:szCs w:val="24"/>
            </w:rPr>
            <w:instrText xml:space="preserve"> HYPERLINK \l _Toc2775 </w:instrText>
          </w:r>
          <w:r>
            <w:rPr>
              <w:rFonts w:eastAsia="Calibri" w:cs="Times New Roman"/>
              <w:szCs w:val="24"/>
            </w:rPr>
            <w:fldChar w:fldCharType="separate"/>
          </w:r>
          <w:r>
            <w:rPr>
              <w:rFonts w:eastAsia="DengXian Light" w:cs="Times New Roman"/>
              <w:bCs/>
              <w:szCs w:val="24"/>
            </w:rPr>
            <w:t>Horn of Africa</w:t>
          </w:r>
          <w:r>
            <w:tab/>
          </w:r>
          <w:r>
            <w:fldChar w:fldCharType="begin"/>
          </w:r>
          <w:r>
            <w:instrText xml:space="preserve"> PAGEREF _Toc2775 \h </w:instrText>
          </w:r>
          <w:r>
            <w:fldChar w:fldCharType="separate"/>
          </w:r>
          <w:r>
            <w:t>7</w:t>
          </w:r>
          <w:r>
            <w:fldChar w:fldCharType="end"/>
          </w:r>
          <w:r>
            <w:rPr>
              <w:rFonts w:eastAsia="Calibri" w:cs="Times New Roman"/>
              <w:szCs w:val="24"/>
            </w:rPr>
            <w:fldChar w:fldCharType="end"/>
          </w:r>
        </w:p>
        <w:p w14:paraId="3433CBBF">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_Toc11037 </w:instrText>
          </w:r>
          <w:r>
            <w:rPr>
              <w:rFonts w:eastAsia="Calibri" w:cs="Times New Roman"/>
              <w:szCs w:val="24"/>
            </w:rPr>
            <w:fldChar w:fldCharType="separate"/>
          </w:r>
          <w:r>
            <w:t>Somalia</w:t>
          </w:r>
          <w:r>
            <w:tab/>
          </w:r>
          <w:r>
            <w:fldChar w:fldCharType="begin"/>
          </w:r>
          <w:r>
            <w:instrText xml:space="preserve"> PAGEREF _Toc11037 \h </w:instrText>
          </w:r>
          <w:r>
            <w:fldChar w:fldCharType="separate"/>
          </w:r>
          <w:r>
            <w:t>7</w:t>
          </w:r>
          <w:r>
            <w:fldChar w:fldCharType="end"/>
          </w:r>
          <w:r>
            <w:rPr>
              <w:rFonts w:eastAsia="Calibri" w:cs="Times New Roman"/>
              <w:szCs w:val="24"/>
            </w:rPr>
            <w:fldChar w:fldCharType="end"/>
          </w:r>
        </w:p>
        <w:p w14:paraId="090622D5">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_Toc16318 </w:instrText>
          </w:r>
          <w:r>
            <w:rPr>
              <w:rFonts w:eastAsia="Calibri" w:cs="Times New Roman"/>
              <w:szCs w:val="24"/>
            </w:rPr>
            <w:fldChar w:fldCharType="separate"/>
          </w:r>
          <w:r>
            <w:rPr>
              <w:rFonts w:hint="default" w:ascii="Wingdings" w:hAnsi="Wingdings"/>
              <w:szCs w:val="16"/>
              <w:lang w:val="en-GB"/>
            </w:rPr>
            <w:t xml:space="preserve"> </w:t>
          </w:r>
          <w:r>
            <w:rPr>
              <w:rFonts w:hint="default"/>
            </w:rPr>
            <w:t>Somalia deploys custodial corps troops to strengthen fight against al-Shabab</w:t>
          </w:r>
          <w:r>
            <w:tab/>
          </w:r>
          <w:r>
            <w:fldChar w:fldCharType="begin"/>
          </w:r>
          <w:r>
            <w:instrText xml:space="preserve"> PAGEREF _Toc16318 \h </w:instrText>
          </w:r>
          <w:r>
            <w:fldChar w:fldCharType="separate"/>
          </w:r>
          <w:r>
            <w:t>7</w:t>
          </w:r>
          <w:r>
            <w:fldChar w:fldCharType="end"/>
          </w:r>
          <w:r>
            <w:rPr>
              <w:rFonts w:eastAsia="Calibri" w:cs="Times New Roman"/>
              <w:szCs w:val="24"/>
            </w:rPr>
            <w:fldChar w:fldCharType="end"/>
          </w:r>
        </w:p>
        <w:p w14:paraId="152D3AE9">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_Toc14320 </w:instrText>
          </w:r>
          <w:r>
            <w:rPr>
              <w:rFonts w:eastAsia="Calibri" w:cs="Times New Roman"/>
              <w:szCs w:val="24"/>
            </w:rPr>
            <w:fldChar w:fldCharType="separate"/>
          </w:r>
          <w:r>
            <w:rPr>
              <w:rFonts w:hint="default" w:ascii="Wingdings" w:hAnsi="Wingdings"/>
              <w:szCs w:val="16"/>
              <w:lang w:val="en-GB"/>
            </w:rPr>
            <w:t xml:space="preserve"> </w:t>
          </w:r>
          <w:r>
            <w:rPr>
              <w:rFonts w:hint="default"/>
            </w:rPr>
            <w:t>Trump questions U.S. missions in Somalia and Kenya, calls for shift to fighting ‘enemy within’</w:t>
          </w:r>
          <w:r>
            <w:tab/>
          </w:r>
          <w:r>
            <w:fldChar w:fldCharType="begin"/>
          </w:r>
          <w:r>
            <w:instrText xml:space="preserve"> PAGEREF _Toc14320 \h </w:instrText>
          </w:r>
          <w:r>
            <w:fldChar w:fldCharType="separate"/>
          </w:r>
          <w:r>
            <w:t>8</w:t>
          </w:r>
          <w:r>
            <w:fldChar w:fldCharType="end"/>
          </w:r>
          <w:r>
            <w:rPr>
              <w:rFonts w:eastAsia="Calibri" w:cs="Times New Roman"/>
              <w:szCs w:val="24"/>
            </w:rPr>
            <w:fldChar w:fldCharType="end"/>
          </w:r>
        </w:p>
        <w:p w14:paraId="638FD3D0">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_Toc10693 </w:instrText>
          </w:r>
          <w:r>
            <w:rPr>
              <w:rFonts w:eastAsia="Calibri" w:cs="Times New Roman"/>
              <w:szCs w:val="24"/>
            </w:rPr>
            <w:fldChar w:fldCharType="separate"/>
          </w:r>
          <w:r>
            <w:rPr>
              <w:szCs w:val="24"/>
            </w:rPr>
            <w:t>Sudan</w:t>
          </w:r>
          <w:r>
            <w:tab/>
          </w:r>
          <w:r>
            <w:fldChar w:fldCharType="begin"/>
          </w:r>
          <w:r>
            <w:instrText xml:space="preserve"> PAGEREF _Toc10693 \h </w:instrText>
          </w:r>
          <w:r>
            <w:fldChar w:fldCharType="separate"/>
          </w:r>
          <w:r>
            <w:t>8</w:t>
          </w:r>
          <w:r>
            <w:fldChar w:fldCharType="end"/>
          </w:r>
          <w:r>
            <w:rPr>
              <w:rFonts w:eastAsia="Calibri" w:cs="Times New Roman"/>
              <w:szCs w:val="24"/>
            </w:rPr>
            <w:fldChar w:fldCharType="end"/>
          </w:r>
        </w:p>
        <w:p w14:paraId="50C8AC97">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_Toc3834 </w:instrText>
          </w:r>
          <w:r>
            <w:rPr>
              <w:rFonts w:eastAsia="Calibri" w:cs="Times New Roman"/>
              <w:szCs w:val="24"/>
            </w:rPr>
            <w:fldChar w:fldCharType="separate"/>
          </w:r>
          <w:r>
            <w:rPr>
              <w:rFonts w:hint="default" w:ascii="Wingdings" w:hAnsi="Wingdings"/>
              <w:szCs w:val="16"/>
              <w:lang w:val="en-GB"/>
            </w:rPr>
            <w:t xml:space="preserve"> </w:t>
          </w:r>
          <w:r>
            <w:rPr>
              <w:rFonts w:hint="default"/>
            </w:rPr>
            <w:t>Sudan to review GERD deal, proposes $100 billion partnership with Saudi Arabia</w:t>
          </w:r>
          <w:r>
            <w:tab/>
          </w:r>
          <w:r>
            <w:fldChar w:fldCharType="begin"/>
          </w:r>
          <w:r>
            <w:instrText xml:space="preserve"> PAGEREF _Toc3834 \h </w:instrText>
          </w:r>
          <w:r>
            <w:fldChar w:fldCharType="separate"/>
          </w:r>
          <w:r>
            <w:t>8</w:t>
          </w:r>
          <w:r>
            <w:fldChar w:fldCharType="end"/>
          </w:r>
          <w:r>
            <w:rPr>
              <w:rFonts w:eastAsia="Calibri" w:cs="Times New Roman"/>
              <w:szCs w:val="24"/>
            </w:rPr>
            <w:fldChar w:fldCharType="end"/>
          </w:r>
        </w:p>
        <w:p w14:paraId="60BC4B3D">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_Toc4466 </w:instrText>
          </w:r>
          <w:r>
            <w:rPr>
              <w:rFonts w:eastAsia="Calibri" w:cs="Times New Roman"/>
              <w:szCs w:val="24"/>
            </w:rPr>
            <w:fldChar w:fldCharType="separate"/>
          </w:r>
          <w:r>
            <w:rPr>
              <w:rFonts w:hint="default" w:ascii="Wingdings" w:hAnsi="Wingdings"/>
              <w:szCs w:val="16"/>
              <w:lang w:val="en-GB"/>
            </w:rPr>
            <w:t xml:space="preserve"> </w:t>
          </w:r>
          <w:r>
            <w:rPr>
              <w:rFonts w:hint="default"/>
            </w:rPr>
            <w:t>Al-Burhan, Egyptian foreign minister discuss efforts to end Sudan’s conflict</w:t>
          </w:r>
          <w:r>
            <w:tab/>
          </w:r>
          <w:r>
            <w:fldChar w:fldCharType="begin"/>
          </w:r>
          <w:r>
            <w:instrText xml:space="preserve"> PAGEREF _Toc4466 \h </w:instrText>
          </w:r>
          <w:r>
            <w:fldChar w:fldCharType="separate"/>
          </w:r>
          <w:r>
            <w:t>9</w:t>
          </w:r>
          <w:r>
            <w:fldChar w:fldCharType="end"/>
          </w:r>
          <w:r>
            <w:rPr>
              <w:rFonts w:eastAsia="Calibri" w:cs="Times New Roman"/>
              <w:szCs w:val="24"/>
            </w:rPr>
            <w:fldChar w:fldCharType="end"/>
          </w:r>
        </w:p>
        <w:p w14:paraId="746EBFAA">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_Toc3378 </w:instrText>
          </w:r>
          <w:r>
            <w:rPr>
              <w:rFonts w:eastAsia="Calibri" w:cs="Times New Roman"/>
              <w:szCs w:val="24"/>
            </w:rPr>
            <w:fldChar w:fldCharType="separate"/>
          </w:r>
          <w:r>
            <w:rPr>
              <w:rFonts w:hint="default" w:ascii="Wingdings" w:hAnsi="Wingdings"/>
              <w:szCs w:val="16"/>
              <w:lang w:val="en-GB"/>
            </w:rPr>
            <w:t xml:space="preserve"> </w:t>
          </w:r>
          <w:r>
            <w:rPr>
              <w:rFonts w:hint="default"/>
            </w:rPr>
            <w:t>RSF readies massive drone fleet for imminent attack in Sudan, Yale report says</w:t>
          </w:r>
          <w:r>
            <w:tab/>
          </w:r>
          <w:r>
            <w:fldChar w:fldCharType="begin"/>
          </w:r>
          <w:r>
            <w:instrText xml:space="preserve"> PAGEREF _Toc3378 \h </w:instrText>
          </w:r>
          <w:r>
            <w:fldChar w:fldCharType="separate"/>
          </w:r>
          <w:r>
            <w:t>10</w:t>
          </w:r>
          <w:r>
            <w:fldChar w:fldCharType="end"/>
          </w:r>
          <w:r>
            <w:rPr>
              <w:rFonts w:eastAsia="Calibri" w:cs="Times New Roman"/>
              <w:szCs w:val="24"/>
            </w:rPr>
            <w:fldChar w:fldCharType="end"/>
          </w:r>
        </w:p>
        <w:p w14:paraId="7E8F00B6">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_Toc1063 </w:instrText>
          </w:r>
          <w:r>
            <w:rPr>
              <w:rFonts w:eastAsia="Calibri" w:cs="Times New Roman"/>
              <w:szCs w:val="24"/>
            </w:rPr>
            <w:fldChar w:fldCharType="separate"/>
          </w:r>
          <w:r>
            <w:rPr>
              <w:rFonts w:hint="default" w:ascii="Wingdings" w:hAnsi="Wingdings"/>
              <w:szCs w:val="16"/>
              <w:lang w:val="en-GB"/>
            </w:rPr>
            <w:t xml:space="preserve"> </w:t>
          </w:r>
          <w:r>
            <w:rPr>
              <w:rFonts w:hint="default"/>
            </w:rPr>
            <w:t>Six killed in RSF shelling of crowded displacement shelter in El Fasher</w:t>
          </w:r>
          <w:r>
            <w:rPr>
              <w:rFonts w:hint="default"/>
              <w:lang w:val="en-GB"/>
            </w:rPr>
            <w:t xml:space="preserve"> </w:t>
          </w:r>
          <w:r>
            <w:tab/>
          </w:r>
          <w:r>
            <w:fldChar w:fldCharType="begin"/>
          </w:r>
          <w:r>
            <w:instrText xml:space="preserve"> PAGEREF _Toc1063 \h </w:instrText>
          </w:r>
          <w:r>
            <w:fldChar w:fldCharType="separate"/>
          </w:r>
          <w:r>
            <w:t>10</w:t>
          </w:r>
          <w:r>
            <w:fldChar w:fldCharType="end"/>
          </w:r>
          <w:r>
            <w:rPr>
              <w:rFonts w:eastAsia="Calibri" w:cs="Times New Roman"/>
              <w:szCs w:val="24"/>
            </w:rPr>
            <w:fldChar w:fldCharType="end"/>
          </w:r>
        </w:p>
        <w:p w14:paraId="3373C596">
          <w:pPr>
            <w:pStyle w:val="13"/>
            <w:tabs>
              <w:tab w:val="right" w:leader="dot" w:pos="8640"/>
            </w:tabs>
          </w:pPr>
          <w:r>
            <w:rPr>
              <w:rFonts w:eastAsia="Calibri" w:cs="Times New Roman"/>
              <w:szCs w:val="24"/>
            </w:rPr>
            <w:fldChar w:fldCharType="begin"/>
          </w:r>
          <w:r>
            <w:rPr>
              <w:rFonts w:eastAsia="Calibri" w:cs="Times New Roman"/>
              <w:szCs w:val="24"/>
            </w:rPr>
            <w:instrText xml:space="preserve"> HYPERLINK \l _Toc17818 </w:instrText>
          </w:r>
          <w:r>
            <w:rPr>
              <w:rFonts w:eastAsia="Calibri" w:cs="Times New Roman"/>
              <w:szCs w:val="24"/>
            </w:rPr>
            <w:fldChar w:fldCharType="separate"/>
          </w:r>
          <w:r>
            <w:rPr>
              <w:rFonts w:eastAsia="DengXian Light" w:cs="Times New Roman"/>
              <w:bCs/>
              <w:szCs w:val="24"/>
            </w:rPr>
            <w:t>Gulf Region and the Middle East</w:t>
          </w:r>
          <w:r>
            <w:tab/>
          </w:r>
          <w:r>
            <w:fldChar w:fldCharType="begin"/>
          </w:r>
          <w:r>
            <w:instrText xml:space="preserve"> PAGEREF _Toc17818 \h </w:instrText>
          </w:r>
          <w:r>
            <w:fldChar w:fldCharType="separate"/>
          </w:r>
          <w:r>
            <w:t>11</w:t>
          </w:r>
          <w:r>
            <w:fldChar w:fldCharType="end"/>
          </w:r>
          <w:r>
            <w:rPr>
              <w:rFonts w:eastAsia="Calibri" w:cs="Times New Roman"/>
              <w:szCs w:val="24"/>
            </w:rPr>
            <w:fldChar w:fldCharType="end"/>
          </w:r>
        </w:p>
        <w:p w14:paraId="5A620346">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_Toc8060 </w:instrText>
          </w:r>
          <w:r>
            <w:rPr>
              <w:rFonts w:eastAsia="Calibri" w:cs="Times New Roman"/>
              <w:szCs w:val="24"/>
            </w:rPr>
            <w:fldChar w:fldCharType="separate"/>
          </w:r>
          <w:r>
            <w:t>Egypt</w:t>
          </w:r>
          <w:r>
            <w:tab/>
          </w:r>
          <w:r>
            <w:fldChar w:fldCharType="begin"/>
          </w:r>
          <w:r>
            <w:instrText xml:space="preserve"> PAGEREF _Toc8060 \h </w:instrText>
          </w:r>
          <w:r>
            <w:fldChar w:fldCharType="separate"/>
          </w:r>
          <w:r>
            <w:t>11</w:t>
          </w:r>
          <w:r>
            <w:fldChar w:fldCharType="end"/>
          </w:r>
          <w:r>
            <w:rPr>
              <w:rFonts w:eastAsia="Calibri" w:cs="Times New Roman"/>
              <w:szCs w:val="24"/>
            </w:rPr>
            <w:fldChar w:fldCharType="end"/>
          </w:r>
        </w:p>
        <w:p w14:paraId="70CBA557">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_Toc17308 </w:instrText>
          </w:r>
          <w:r>
            <w:rPr>
              <w:rFonts w:eastAsia="Calibri" w:cs="Times New Roman"/>
              <w:szCs w:val="24"/>
            </w:rPr>
            <w:fldChar w:fldCharType="separate"/>
          </w:r>
          <w:r>
            <w:rPr>
              <w:rFonts w:hint="default" w:ascii="Wingdings" w:hAnsi="Wingdings"/>
              <w:szCs w:val="16"/>
              <w:lang w:val="en-GB"/>
            </w:rPr>
            <w:t xml:space="preserve"> </w:t>
          </w:r>
          <w:r>
            <w:rPr>
              <w:rFonts w:hint="default"/>
            </w:rPr>
            <w:t>Egypt, Somalia discuss strengthening military partnership, African security</w:t>
          </w:r>
          <w:r>
            <w:tab/>
          </w:r>
          <w:r>
            <w:fldChar w:fldCharType="begin"/>
          </w:r>
          <w:r>
            <w:instrText xml:space="preserve"> PAGEREF _Toc17308 \h </w:instrText>
          </w:r>
          <w:r>
            <w:fldChar w:fldCharType="separate"/>
          </w:r>
          <w:r>
            <w:t>11</w:t>
          </w:r>
          <w:r>
            <w:fldChar w:fldCharType="end"/>
          </w:r>
          <w:r>
            <w:rPr>
              <w:rFonts w:eastAsia="Calibri" w:cs="Times New Roman"/>
              <w:szCs w:val="24"/>
            </w:rPr>
            <w:fldChar w:fldCharType="end"/>
          </w:r>
        </w:p>
        <w:p w14:paraId="1F0B5214">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_Toc23701 </w:instrText>
          </w:r>
          <w:r>
            <w:rPr>
              <w:rFonts w:eastAsia="Calibri" w:cs="Times New Roman"/>
              <w:szCs w:val="24"/>
            </w:rPr>
            <w:fldChar w:fldCharType="separate"/>
          </w:r>
          <w:r>
            <w:rPr>
              <w:rFonts w:hint="default"/>
              <w:lang w:val="en-GB"/>
            </w:rPr>
            <w:t>Yemen</w:t>
          </w:r>
          <w:r>
            <w:tab/>
          </w:r>
          <w:r>
            <w:fldChar w:fldCharType="begin"/>
          </w:r>
          <w:r>
            <w:instrText xml:space="preserve"> PAGEREF _Toc23701 \h </w:instrText>
          </w:r>
          <w:r>
            <w:fldChar w:fldCharType="separate"/>
          </w:r>
          <w:r>
            <w:t>11</w:t>
          </w:r>
          <w:r>
            <w:fldChar w:fldCharType="end"/>
          </w:r>
          <w:r>
            <w:rPr>
              <w:rFonts w:eastAsia="Calibri" w:cs="Times New Roman"/>
              <w:szCs w:val="24"/>
            </w:rPr>
            <w:fldChar w:fldCharType="end"/>
          </w:r>
        </w:p>
        <w:p w14:paraId="518D01F9">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_Toc29065 </w:instrText>
          </w:r>
          <w:r>
            <w:rPr>
              <w:rFonts w:eastAsia="Calibri" w:cs="Times New Roman"/>
              <w:szCs w:val="24"/>
            </w:rPr>
            <w:fldChar w:fldCharType="separate"/>
          </w:r>
          <w:r>
            <w:rPr>
              <w:rFonts w:hint="default" w:ascii="Wingdings" w:hAnsi="Wingdings"/>
              <w:szCs w:val="16"/>
              <w:lang w:val="en-GB"/>
            </w:rPr>
            <w:t xml:space="preserve"> </w:t>
          </w:r>
          <w:r>
            <w:rPr>
              <w:rFonts w:hint="default"/>
              <w:lang w:val="en-GB"/>
            </w:rPr>
            <w:t>Houthis threaten to resume attacks on US ships in the Red Sea</w:t>
          </w:r>
          <w:r>
            <w:tab/>
          </w:r>
          <w:r>
            <w:fldChar w:fldCharType="begin"/>
          </w:r>
          <w:r>
            <w:instrText xml:space="preserve"> PAGEREF _Toc29065 \h </w:instrText>
          </w:r>
          <w:r>
            <w:fldChar w:fldCharType="separate"/>
          </w:r>
          <w:r>
            <w:t>11</w:t>
          </w:r>
          <w:r>
            <w:fldChar w:fldCharType="end"/>
          </w:r>
          <w:r>
            <w:rPr>
              <w:rFonts w:eastAsia="Calibri" w:cs="Times New Roman"/>
              <w:szCs w:val="24"/>
            </w:rPr>
            <w:fldChar w:fldCharType="end"/>
          </w:r>
        </w:p>
        <w:p w14:paraId="43DF83FA">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_Toc835 </w:instrText>
          </w:r>
          <w:r>
            <w:rPr>
              <w:rFonts w:eastAsia="Calibri" w:cs="Times New Roman"/>
              <w:szCs w:val="24"/>
            </w:rPr>
            <w:fldChar w:fldCharType="separate"/>
          </w:r>
          <w:r>
            <w:t>Israel</w:t>
          </w:r>
          <w:r>
            <w:tab/>
          </w:r>
          <w:r>
            <w:fldChar w:fldCharType="begin"/>
          </w:r>
          <w:r>
            <w:instrText xml:space="preserve"> PAGEREF _Toc835 \h </w:instrText>
          </w:r>
          <w:r>
            <w:fldChar w:fldCharType="separate"/>
          </w:r>
          <w:r>
            <w:t>12</w:t>
          </w:r>
          <w:r>
            <w:fldChar w:fldCharType="end"/>
          </w:r>
          <w:r>
            <w:rPr>
              <w:rFonts w:eastAsia="Calibri" w:cs="Times New Roman"/>
              <w:szCs w:val="24"/>
            </w:rPr>
            <w:fldChar w:fldCharType="end"/>
          </w:r>
        </w:p>
        <w:p w14:paraId="01794578">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_Toc19396 </w:instrText>
          </w:r>
          <w:r>
            <w:rPr>
              <w:rFonts w:eastAsia="Calibri" w:cs="Times New Roman"/>
              <w:szCs w:val="24"/>
            </w:rPr>
            <w:fldChar w:fldCharType="separate"/>
          </w:r>
          <w:r>
            <w:rPr>
              <w:rFonts w:hint="default" w:ascii="Wingdings" w:hAnsi="Wingdings"/>
              <w:szCs w:val="16"/>
              <w:lang w:val="en-GB"/>
            </w:rPr>
            <w:t xml:space="preserve"> </w:t>
          </w:r>
          <w:r>
            <w:rPr>
              <w:rFonts w:hint="default"/>
            </w:rPr>
            <w:t>Israeli Navy attacks Gaza aid flotilla, detains 223 activists</w:t>
          </w:r>
          <w:r>
            <w:rPr>
              <w:rFonts w:hint="default"/>
              <w:lang w:val="en-GB"/>
            </w:rPr>
            <w:t xml:space="preserve"> </w:t>
          </w:r>
          <w:r>
            <w:tab/>
          </w:r>
          <w:r>
            <w:fldChar w:fldCharType="begin"/>
          </w:r>
          <w:r>
            <w:instrText xml:space="preserve"> PAGEREF _Toc19396 \h </w:instrText>
          </w:r>
          <w:r>
            <w:fldChar w:fldCharType="separate"/>
          </w:r>
          <w:r>
            <w:t>12</w:t>
          </w:r>
          <w:r>
            <w:fldChar w:fldCharType="end"/>
          </w:r>
          <w:r>
            <w:rPr>
              <w:rFonts w:eastAsia="Calibri" w:cs="Times New Roman"/>
              <w:szCs w:val="24"/>
            </w:rPr>
            <w:fldChar w:fldCharType="end"/>
          </w:r>
        </w:p>
        <w:p w14:paraId="0D3BC6CA">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_Toc27359 </w:instrText>
          </w:r>
          <w:r>
            <w:rPr>
              <w:rFonts w:eastAsia="Calibri" w:cs="Times New Roman"/>
              <w:szCs w:val="24"/>
            </w:rPr>
            <w:fldChar w:fldCharType="separate"/>
          </w:r>
          <w:r>
            <w:t>Palestine</w:t>
          </w:r>
          <w:r>
            <w:tab/>
          </w:r>
          <w:r>
            <w:fldChar w:fldCharType="begin"/>
          </w:r>
          <w:r>
            <w:instrText xml:space="preserve"> PAGEREF _Toc27359 \h </w:instrText>
          </w:r>
          <w:r>
            <w:fldChar w:fldCharType="separate"/>
          </w:r>
          <w:r>
            <w:t>13</w:t>
          </w:r>
          <w:r>
            <w:fldChar w:fldCharType="end"/>
          </w:r>
          <w:r>
            <w:rPr>
              <w:rFonts w:eastAsia="Calibri" w:cs="Times New Roman"/>
              <w:szCs w:val="24"/>
            </w:rPr>
            <w:fldChar w:fldCharType="end"/>
          </w:r>
        </w:p>
        <w:p w14:paraId="137F3DF1">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_Toc3750 </w:instrText>
          </w:r>
          <w:r>
            <w:rPr>
              <w:rFonts w:eastAsia="Calibri" w:cs="Times New Roman"/>
              <w:szCs w:val="24"/>
            </w:rPr>
            <w:fldChar w:fldCharType="separate"/>
          </w:r>
          <w:r>
            <w:rPr>
              <w:rFonts w:hint="default" w:ascii="Wingdings" w:hAnsi="Wingdings"/>
              <w:szCs w:val="16"/>
              <w:lang w:val="en-GB"/>
            </w:rPr>
            <w:t xml:space="preserve"> </w:t>
          </w:r>
          <w:r>
            <w:rPr>
              <w:rFonts w:hint="default"/>
            </w:rPr>
            <w:t>UN General Assembly president warns US veto on Gaza ceasefire undermines body’s credibility</w:t>
          </w:r>
          <w:r>
            <w:tab/>
          </w:r>
          <w:r>
            <w:fldChar w:fldCharType="begin"/>
          </w:r>
          <w:r>
            <w:instrText xml:space="preserve"> PAGEREF _Toc3750 \h </w:instrText>
          </w:r>
          <w:r>
            <w:fldChar w:fldCharType="separate"/>
          </w:r>
          <w:r>
            <w:t>13</w:t>
          </w:r>
          <w:r>
            <w:fldChar w:fldCharType="end"/>
          </w:r>
          <w:r>
            <w:rPr>
              <w:rFonts w:eastAsia="Calibri" w:cs="Times New Roman"/>
              <w:szCs w:val="24"/>
            </w:rPr>
            <w:fldChar w:fldCharType="end"/>
          </w:r>
        </w:p>
        <w:p w14:paraId="146D9DF7">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_Toc7999 </w:instrText>
          </w:r>
          <w:r>
            <w:rPr>
              <w:rFonts w:eastAsia="Calibri" w:cs="Times New Roman"/>
              <w:szCs w:val="24"/>
            </w:rPr>
            <w:fldChar w:fldCharType="separate"/>
          </w:r>
          <w:r>
            <w:rPr>
              <w:rFonts w:hint="default" w:ascii="Wingdings" w:hAnsi="Wingdings"/>
              <w:szCs w:val="16"/>
              <w:lang w:val="en-GB"/>
            </w:rPr>
            <w:t xml:space="preserve"> </w:t>
          </w:r>
          <w:r>
            <w:rPr>
              <w:rFonts w:hint="default"/>
            </w:rPr>
            <w:t>EU commissioner urges unhindered humanitarian access to Gaza</w:t>
          </w:r>
          <w:r>
            <w:tab/>
          </w:r>
          <w:r>
            <w:fldChar w:fldCharType="begin"/>
          </w:r>
          <w:r>
            <w:instrText xml:space="preserve"> PAGEREF _Toc7999 \h </w:instrText>
          </w:r>
          <w:r>
            <w:fldChar w:fldCharType="separate"/>
          </w:r>
          <w:r>
            <w:t>14</w:t>
          </w:r>
          <w:r>
            <w:fldChar w:fldCharType="end"/>
          </w:r>
          <w:r>
            <w:rPr>
              <w:rFonts w:eastAsia="Calibri" w:cs="Times New Roman"/>
              <w:szCs w:val="24"/>
            </w:rPr>
            <w:fldChar w:fldCharType="end"/>
          </w:r>
        </w:p>
        <w:p w14:paraId="322E30B5">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_Toc15387 </w:instrText>
          </w:r>
          <w:r>
            <w:rPr>
              <w:rFonts w:eastAsia="Calibri" w:cs="Times New Roman"/>
              <w:szCs w:val="24"/>
            </w:rPr>
            <w:fldChar w:fldCharType="separate"/>
          </w:r>
          <w:r>
            <w:t>Turkey</w:t>
          </w:r>
          <w:r>
            <w:tab/>
          </w:r>
          <w:r>
            <w:fldChar w:fldCharType="begin"/>
          </w:r>
          <w:r>
            <w:instrText xml:space="preserve"> PAGEREF _Toc15387 \h </w:instrText>
          </w:r>
          <w:r>
            <w:fldChar w:fldCharType="separate"/>
          </w:r>
          <w:r>
            <w:t>15</w:t>
          </w:r>
          <w:r>
            <w:fldChar w:fldCharType="end"/>
          </w:r>
          <w:r>
            <w:rPr>
              <w:rFonts w:eastAsia="Calibri" w:cs="Times New Roman"/>
              <w:szCs w:val="24"/>
            </w:rPr>
            <w:fldChar w:fldCharType="end"/>
          </w:r>
        </w:p>
        <w:p w14:paraId="4AC15387">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_Toc29251 </w:instrText>
          </w:r>
          <w:r>
            <w:rPr>
              <w:rFonts w:eastAsia="Calibri" w:cs="Times New Roman"/>
              <w:szCs w:val="24"/>
            </w:rPr>
            <w:fldChar w:fldCharType="separate"/>
          </w:r>
          <w:r>
            <w:rPr>
              <w:rFonts w:hint="default" w:ascii="Wingdings" w:hAnsi="Wingdings"/>
              <w:szCs w:val="16"/>
              <w:lang w:val="en-GB"/>
            </w:rPr>
            <w:t xml:space="preserve"> </w:t>
          </w:r>
          <w:r>
            <w:rPr>
              <w:rFonts w:hint="default"/>
            </w:rPr>
            <w:t>Duty to secure Gaza peace falls first on Islamic world, then global community: Turkish president</w:t>
          </w:r>
          <w:r>
            <w:rPr>
              <w:rFonts w:hint="default"/>
              <w:lang w:val="en-GB"/>
            </w:rPr>
            <w:t xml:space="preserve"> </w:t>
          </w:r>
          <w:r>
            <w:tab/>
          </w:r>
          <w:r>
            <w:fldChar w:fldCharType="begin"/>
          </w:r>
          <w:r>
            <w:instrText xml:space="preserve"> PAGEREF _Toc29251 \h </w:instrText>
          </w:r>
          <w:r>
            <w:fldChar w:fldCharType="separate"/>
          </w:r>
          <w:r>
            <w:t>15</w:t>
          </w:r>
          <w:r>
            <w:fldChar w:fldCharType="end"/>
          </w:r>
          <w:r>
            <w:rPr>
              <w:rFonts w:eastAsia="Calibri" w:cs="Times New Roman"/>
              <w:szCs w:val="24"/>
            </w:rPr>
            <w:fldChar w:fldCharType="end"/>
          </w:r>
        </w:p>
        <w:p w14:paraId="72C0E837">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_Toc32644 </w:instrText>
          </w:r>
          <w:r>
            <w:rPr>
              <w:rFonts w:eastAsia="Calibri" w:cs="Times New Roman"/>
              <w:szCs w:val="24"/>
            </w:rPr>
            <w:fldChar w:fldCharType="separate"/>
          </w:r>
          <w:r>
            <w:rPr>
              <w:rFonts w:hint="default" w:ascii="Wingdings" w:hAnsi="Wingdings"/>
              <w:szCs w:val="16"/>
              <w:lang w:val="en-GB"/>
            </w:rPr>
            <w:t xml:space="preserve"> </w:t>
          </w:r>
          <w:r>
            <w:rPr>
              <w:rFonts w:hint="default"/>
            </w:rPr>
            <w:t>Saudi Arabia, Turkey, Jordan &amp; Qatar angered by Netanyahu’s changes to Trump’s Gaza plan</w:t>
          </w:r>
          <w:r>
            <w:tab/>
          </w:r>
          <w:r>
            <w:fldChar w:fldCharType="begin"/>
          </w:r>
          <w:r>
            <w:instrText xml:space="preserve"> PAGEREF _Toc32644 \h </w:instrText>
          </w:r>
          <w:r>
            <w:fldChar w:fldCharType="separate"/>
          </w:r>
          <w:r>
            <w:t>16</w:t>
          </w:r>
          <w:r>
            <w:fldChar w:fldCharType="end"/>
          </w:r>
          <w:r>
            <w:rPr>
              <w:rFonts w:eastAsia="Calibri" w:cs="Times New Roman"/>
              <w:szCs w:val="24"/>
            </w:rPr>
            <w:fldChar w:fldCharType="end"/>
          </w:r>
        </w:p>
        <w:p w14:paraId="08168325">
          <w:pPr>
            <w:pStyle w:val="13"/>
            <w:tabs>
              <w:tab w:val="right" w:leader="dot" w:pos="8640"/>
            </w:tabs>
          </w:pPr>
          <w:r>
            <w:rPr>
              <w:rFonts w:eastAsia="Calibri" w:cs="Times New Roman"/>
              <w:szCs w:val="24"/>
            </w:rPr>
            <w:fldChar w:fldCharType="begin"/>
          </w:r>
          <w:r>
            <w:rPr>
              <w:rFonts w:eastAsia="Calibri" w:cs="Times New Roman"/>
              <w:szCs w:val="24"/>
            </w:rPr>
            <w:instrText xml:space="preserve"> HYPERLINK \l _Toc1731 </w:instrText>
          </w:r>
          <w:r>
            <w:rPr>
              <w:rFonts w:eastAsia="Calibri" w:cs="Times New Roman"/>
              <w:szCs w:val="24"/>
            </w:rPr>
            <w:fldChar w:fldCharType="separate"/>
          </w:r>
          <w:r>
            <w:rPr>
              <w:rFonts w:eastAsia="DengXian Light" w:cs="Times New Roman"/>
              <w:bCs/>
              <w:szCs w:val="24"/>
            </w:rPr>
            <w:t>Global Powers</w:t>
          </w:r>
          <w:r>
            <w:tab/>
          </w:r>
          <w:r>
            <w:fldChar w:fldCharType="begin"/>
          </w:r>
          <w:r>
            <w:instrText xml:space="preserve"> PAGEREF _Toc1731 \h </w:instrText>
          </w:r>
          <w:r>
            <w:fldChar w:fldCharType="separate"/>
          </w:r>
          <w:r>
            <w:t>16</w:t>
          </w:r>
          <w:r>
            <w:fldChar w:fldCharType="end"/>
          </w:r>
          <w:r>
            <w:rPr>
              <w:rFonts w:eastAsia="Calibri" w:cs="Times New Roman"/>
              <w:szCs w:val="24"/>
            </w:rPr>
            <w:fldChar w:fldCharType="end"/>
          </w:r>
        </w:p>
        <w:p w14:paraId="03CB6936">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_Toc26991 </w:instrText>
          </w:r>
          <w:r>
            <w:rPr>
              <w:rFonts w:eastAsia="Calibri" w:cs="Times New Roman"/>
              <w:szCs w:val="24"/>
            </w:rPr>
            <w:fldChar w:fldCharType="separate"/>
          </w:r>
          <w:r>
            <w:rPr>
              <w:rFonts w:hint="default"/>
              <w:lang w:val="en-GB" w:eastAsia="zh-CN"/>
            </w:rPr>
            <w:t>US</w:t>
          </w:r>
          <w:r>
            <w:tab/>
          </w:r>
          <w:r>
            <w:fldChar w:fldCharType="begin"/>
          </w:r>
          <w:r>
            <w:instrText xml:space="preserve"> PAGEREF _Toc26991 \h </w:instrText>
          </w:r>
          <w:r>
            <w:fldChar w:fldCharType="separate"/>
          </w:r>
          <w:r>
            <w:t>16</w:t>
          </w:r>
          <w:r>
            <w:fldChar w:fldCharType="end"/>
          </w:r>
          <w:r>
            <w:rPr>
              <w:rFonts w:eastAsia="Calibri" w:cs="Times New Roman"/>
              <w:szCs w:val="24"/>
            </w:rPr>
            <w:fldChar w:fldCharType="end"/>
          </w:r>
        </w:p>
        <w:p w14:paraId="7364A43C">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_Toc2019 </w:instrText>
          </w:r>
          <w:r>
            <w:rPr>
              <w:rFonts w:eastAsia="Calibri" w:cs="Times New Roman"/>
              <w:szCs w:val="24"/>
            </w:rPr>
            <w:fldChar w:fldCharType="separate"/>
          </w:r>
          <w:r>
            <w:rPr>
              <w:rFonts w:hint="default" w:ascii="Wingdings" w:hAnsi="Wingdings"/>
              <w:szCs w:val="16"/>
              <w:lang w:val="en-GB"/>
            </w:rPr>
            <w:t xml:space="preserve"> </w:t>
          </w:r>
          <w:r>
            <w:rPr>
              <w:rFonts w:hint="default"/>
            </w:rPr>
            <w:t>US imposes new sanctions on Iran after UN ‘snapback’ measures restored</w:t>
          </w:r>
          <w:r>
            <w:tab/>
          </w:r>
          <w:r>
            <w:fldChar w:fldCharType="begin"/>
          </w:r>
          <w:r>
            <w:instrText xml:space="preserve"> PAGEREF _Toc2019 \h </w:instrText>
          </w:r>
          <w:r>
            <w:fldChar w:fldCharType="separate"/>
          </w:r>
          <w:r>
            <w:t>16</w:t>
          </w:r>
          <w:r>
            <w:fldChar w:fldCharType="end"/>
          </w:r>
          <w:r>
            <w:rPr>
              <w:rFonts w:eastAsia="Calibri" w:cs="Times New Roman"/>
              <w:szCs w:val="24"/>
            </w:rPr>
            <w:fldChar w:fldCharType="end"/>
          </w:r>
        </w:p>
        <w:p w14:paraId="6679F505">
          <w:pPr>
            <w:spacing w:line="276" w:lineRule="auto"/>
            <w:rPr>
              <w:rFonts w:cs="Times New Roman"/>
              <w:szCs w:val="24"/>
            </w:rPr>
          </w:pPr>
          <w:r>
            <w:rPr>
              <w:rFonts w:eastAsia="Calibri" w:cs="Times New Roman"/>
              <w:szCs w:val="24"/>
            </w:rPr>
            <w:fldChar w:fldCharType="end"/>
          </w:r>
        </w:p>
      </w:sdtContent>
    </w:sdt>
    <w:p w14:paraId="6FB9B148">
      <w:pPr>
        <w:spacing w:line="276" w:lineRule="auto"/>
        <w:rPr>
          <w:rFonts w:hint="default" w:cs="Times New Roman"/>
          <w:szCs w:val="24"/>
          <w:lang w:val="en-GB"/>
        </w:rPr>
      </w:pPr>
      <w:r>
        <w:rPr>
          <w:rFonts w:cs="Times New Roman"/>
          <w:szCs w:val="24"/>
        </w:rPr>
        <w:br w:type="page"/>
      </w:r>
    </w:p>
    <w:p w14:paraId="5F6D74E5">
      <w:pPr>
        <w:spacing w:line="276" w:lineRule="auto"/>
        <w:outlineLvl w:val="0"/>
        <w:rPr>
          <w:rFonts w:eastAsia="DengXian Light" w:cs="Times New Roman"/>
          <w:b/>
          <w:bCs/>
          <w:color w:val="2F5496"/>
          <w:szCs w:val="24"/>
          <w:u w:val="single"/>
        </w:rPr>
      </w:pPr>
      <w:bookmarkStart w:id="0" w:name="_Toc27065"/>
      <w:r>
        <w:rPr>
          <w:rFonts w:eastAsia="DengXian Light" w:cs="Times New Roman"/>
          <w:b/>
          <w:bCs/>
          <w:color w:val="2F5496"/>
          <w:szCs w:val="24"/>
          <w:u w:val="single"/>
        </w:rPr>
        <w:t>Ethiopia</w:t>
      </w:r>
      <w:bookmarkEnd w:id="0"/>
    </w:p>
    <w:p w14:paraId="780BF666">
      <w:pPr>
        <w:numPr>
          <w:ilvl w:val="0"/>
          <w:numId w:val="1"/>
        </w:numPr>
        <w:spacing w:line="276" w:lineRule="auto"/>
        <w:ind w:left="420" w:leftChars="0" w:hanging="420" w:firstLineChars="0"/>
        <w:rPr>
          <w:rFonts w:hint="default"/>
          <w:szCs w:val="24"/>
        </w:rPr>
      </w:pPr>
      <w:bookmarkStart w:id="1" w:name="_Toc6530"/>
      <w:r>
        <w:rPr>
          <w:rStyle w:val="15"/>
          <w:rFonts w:hint="default"/>
        </w:rPr>
        <w:t>ENDF says denying Red Sea and Assab Port claim amounts to “banditry”</w:t>
      </w:r>
      <w:bookmarkEnd w:id="1"/>
      <w:r>
        <w:rPr>
          <w:rFonts w:hint="default"/>
          <w:szCs w:val="24"/>
          <w:lang w:val="en-GB"/>
        </w:rPr>
        <w:t xml:space="preserve"> - </w:t>
      </w:r>
      <w:r>
        <w:rPr>
          <w:rFonts w:hint="default"/>
          <w:szCs w:val="24"/>
          <w:lang w:val="en-GB"/>
        </w:rPr>
        <w:fldChar w:fldCharType="begin"/>
      </w:r>
      <w:r>
        <w:rPr>
          <w:rFonts w:hint="default"/>
          <w:szCs w:val="24"/>
          <w:lang w:val="en-GB"/>
        </w:rPr>
        <w:instrText xml:space="preserve"> HYPERLINK "https://addisstandard.com/endf-says-denying-red-sea-and-assab-port-claim-amounts-to-banditry/" </w:instrText>
      </w:r>
      <w:r>
        <w:rPr>
          <w:rFonts w:hint="default"/>
          <w:szCs w:val="24"/>
          <w:lang w:val="en-GB"/>
        </w:rPr>
        <w:fldChar w:fldCharType="separate"/>
      </w:r>
      <w:r>
        <w:rPr>
          <w:rStyle w:val="10"/>
          <w:rFonts w:hint="default"/>
          <w:szCs w:val="24"/>
          <w:lang w:val="en-GB"/>
        </w:rPr>
        <w:t>Addis Standard</w:t>
      </w:r>
      <w:r>
        <w:rPr>
          <w:rFonts w:hint="default"/>
          <w:szCs w:val="24"/>
          <w:lang w:val="en-GB"/>
        </w:rPr>
        <w:fldChar w:fldCharType="end"/>
      </w:r>
    </w:p>
    <w:p w14:paraId="7BCADCF3">
      <w:pPr>
        <w:spacing w:line="276" w:lineRule="auto"/>
        <w:rPr>
          <w:rFonts w:hint="default"/>
          <w:szCs w:val="24"/>
        </w:rPr>
      </w:pPr>
      <w:r>
        <w:rPr>
          <w:rFonts w:hint="default"/>
          <w:szCs w:val="24"/>
        </w:rPr>
        <w:t>The Ethiopian National Defense Forces (ENDF) said that any attempt to deny Ethiopia’s claim over the Red Sea and the Port of Assab “cannot have a water-tight rationale other than banditry.”</w:t>
      </w:r>
      <w:r>
        <w:rPr>
          <w:rFonts w:hint="default"/>
          <w:szCs w:val="24"/>
          <w:lang w:val="en-GB"/>
        </w:rPr>
        <w:t xml:space="preserve"> </w:t>
      </w:r>
      <w:r>
        <w:rPr>
          <w:rFonts w:hint="default"/>
          <w:szCs w:val="24"/>
        </w:rPr>
        <w:t>In a statement released on its official Facebook page on Saturday, 27 September 2025, the army described the Red Sea and Assab Port issue as “the pain of our Ethiopia for over three decades,” which, it said, has “diminished the honor of [Ethiopia’s] nationhood and obstructed its geopolitical national interest.”</w:t>
      </w:r>
      <w:r>
        <w:rPr>
          <w:rFonts w:hint="default"/>
          <w:szCs w:val="24"/>
          <w:lang w:val="en-GB"/>
        </w:rPr>
        <w:t xml:space="preserve"> </w:t>
      </w:r>
      <w:r>
        <w:rPr>
          <w:rFonts w:hint="default"/>
          <w:szCs w:val="24"/>
        </w:rPr>
        <w:t>The ENDF further stated that the official raising of the Red Sea question at the international level “has filled Ethiopian soldiers, who would not hesitate for a second to pay any sacrifice for the realization of our Ethiopia’s national interest, with immense joy.”</w:t>
      </w:r>
      <w:r>
        <w:rPr>
          <w:rFonts w:hint="default"/>
          <w:szCs w:val="24"/>
          <w:lang w:val="en-GB"/>
        </w:rPr>
        <w:t xml:space="preserve"> </w:t>
      </w:r>
      <w:r>
        <w:rPr>
          <w:rFonts w:hint="default"/>
          <w:szCs w:val="24"/>
        </w:rPr>
        <w:t>The statement compared the Red Sea issue to the Grand Ethiopian Renaissance Dam (GERD), saying that just as the dam was realized “through the sacrifice of our generation,” soldiers believe there is “no reason why the Red Sea issue should not also be realized.”</w:t>
      </w:r>
      <w:r>
        <w:rPr>
          <w:rFonts w:hint="default"/>
          <w:szCs w:val="24"/>
          <w:lang w:val="en-GB"/>
        </w:rPr>
        <w:t xml:space="preserve"> </w:t>
      </w:r>
      <w:r>
        <w:rPr>
          <w:rFonts w:hint="default"/>
          <w:szCs w:val="24"/>
        </w:rPr>
        <w:t>While emphasizing that soldiers “are not politicians,” the ENDF added that their commitment is nonetheless informed by awareness:</w:t>
      </w:r>
      <w:r>
        <w:rPr>
          <w:rFonts w:hint="default"/>
          <w:szCs w:val="24"/>
          <w:lang w:val="en-GB"/>
        </w:rPr>
        <w:t xml:space="preserve"> </w:t>
      </w:r>
      <w:r>
        <w:rPr>
          <w:rFonts w:hint="default"/>
          <w:szCs w:val="24"/>
        </w:rPr>
        <w:t xml:space="preserve"> “When we willingly and voluntarily dedicate ourselves for the realization of our Ethiopia’s national interest, there should be no doubt that we do so with full awareness.”</w:t>
      </w:r>
      <w:r>
        <w:rPr>
          <w:rFonts w:hint="default"/>
          <w:szCs w:val="24"/>
          <w:lang w:val="en-GB"/>
        </w:rPr>
        <w:t xml:space="preserve"> </w:t>
      </w:r>
      <w:r>
        <w:rPr>
          <w:rFonts w:hint="default"/>
          <w:szCs w:val="24"/>
        </w:rPr>
        <w:t>The army concluded by asserting that “any attempt to claim the question of the Red Sea, and by extension the Port of Assab, is incorrect under any lens” and amounts to “banditry.”</w:t>
      </w:r>
      <w:r>
        <w:rPr>
          <w:rFonts w:hint="default"/>
          <w:szCs w:val="24"/>
          <w:lang w:val="en-GB"/>
        </w:rPr>
        <w:t xml:space="preserve"> </w:t>
      </w:r>
      <w:r>
        <w:rPr>
          <w:rFonts w:hint="default"/>
          <w:szCs w:val="24"/>
        </w:rPr>
        <w:t>The statement comes amid heightened tensions between Ethiopia and Eritrea regarding Ethiopia’s access to the Red Sea and its claim over the Port of Assab.</w:t>
      </w:r>
      <w:r>
        <w:rPr>
          <w:rFonts w:hint="default"/>
          <w:szCs w:val="24"/>
          <w:lang w:val="en-GB"/>
        </w:rPr>
        <w:t xml:space="preserve"> </w:t>
      </w:r>
      <w:r>
        <w:rPr>
          <w:rFonts w:hint="default"/>
          <w:szCs w:val="24"/>
        </w:rPr>
        <w:t>Ethiopian officials have repeatedly underscored the country’s need for seaport access. Prime Minister Abiy Ahmed, during the launch of his fourth book Medemer Mengist (The Government of Synergy), said: “Any Ethiopian who thinks Ethiopia will forever remain a prisoner of geography is a dead person.” He added that Ethiopia would “prioritize peace, fight poverty, and create its exit and entry gate,” while calling for negotiations with neighboring states.</w:t>
      </w:r>
      <w:r>
        <w:rPr>
          <w:rFonts w:hint="default"/>
          <w:szCs w:val="24"/>
          <w:lang w:val="en-GB"/>
        </w:rPr>
        <w:t xml:space="preserve"> </w:t>
      </w:r>
      <w:r>
        <w:rPr>
          <w:rFonts w:hint="default"/>
          <w:szCs w:val="24"/>
        </w:rPr>
        <w:t>At the United Nations General Assembly earlier this month, President Taye Atske Selassie referred to the Red Sea and the Indian Ocean as the “common heritage of humanity,” emphasizing Ethiopia’s commitment to an “all-inclusive approach” that ensures equitable access, development, and security for all littoral states.</w:t>
      </w:r>
      <w:r>
        <w:rPr>
          <w:rFonts w:hint="default"/>
          <w:szCs w:val="24"/>
          <w:lang w:val="en-GB"/>
        </w:rPr>
        <w:t xml:space="preserve"> </w:t>
      </w:r>
      <w:r>
        <w:rPr>
          <w:rFonts w:hint="default"/>
          <w:szCs w:val="24"/>
        </w:rPr>
        <w:t>Senior defense officials have also previously stressed Ethiopia’s historic and strategic claim to Red Sea access. Major General Teshome Gemechu, Director General of Foreign Relations and Military Cooperation at the Ministry of Defense, described sea access—particularly through Assab Port—as a “historical right and a matter of survival.”</w:t>
      </w:r>
      <w:r>
        <w:rPr>
          <w:rFonts w:hint="default"/>
          <w:szCs w:val="24"/>
          <w:lang w:val="en-GB"/>
        </w:rPr>
        <w:t xml:space="preserve"> </w:t>
      </w:r>
      <w:r>
        <w:rPr>
          <w:rFonts w:hint="default"/>
          <w:szCs w:val="24"/>
        </w:rPr>
        <w:t>“We are not asking for sea access just out of the blue,” he said, citing Ethiopia’s historical ties to Assab, international legal principles concerning geographical proximity, the question of survival, and security threats.</w:t>
      </w:r>
    </w:p>
    <w:p w14:paraId="6F9A06B6">
      <w:pPr>
        <w:numPr>
          <w:ilvl w:val="0"/>
          <w:numId w:val="1"/>
        </w:numPr>
        <w:spacing w:line="276" w:lineRule="auto"/>
        <w:ind w:left="420" w:leftChars="0" w:hanging="420" w:firstLineChars="0"/>
        <w:rPr>
          <w:rFonts w:hint="default"/>
          <w:szCs w:val="24"/>
        </w:rPr>
      </w:pPr>
      <w:bookmarkStart w:id="2" w:name="_Toc8206"/>
      <w:r>
        <w:rPr>
          <w:rStyle w:val="15"/>
          <w:rFonts w:hint="default"/>
        </w:rPr>
        <w:t>TPLF accuses guarantors of Pretoria Agreement of inaction, warns of ‘silent genocide’ in Tigray</w:t>
      </w:r>
      <w:bookmarkEnd w:id="2"/>
      <w:r>
        <w:rPr>
          <w:rFonts w:hint="default"/>
          <w:szCs w:val="24"/>
          <w:lang w:val="en-GB"/>
        </w:rPr>
        <w:t xml:space="preserve"> - </w:t>
      </w:r>
      <w:r>
        <w:rPr>
          <w:rFonts w:hint="default"/>
          <w:szCs w:val="24"/>
          <w:lang w:val="en-GB"/>
        </w:rPr>
        <w:fldChar w:fldCharType="begin"/>
      </w:r>
      <w:r>
        <w:rPr>
          <w:rFonts w:hint="default"/>
          <w:szCs w:val="24"/>
          <w:lang w:val="en-GB"/>
        </w:rPr>
        <w:instrText xml:space="preserve"> HYPERLINK "https://addisstandard.com/tplf-accuses-guarantors-of-pretoria-agreement-of-inaction-warns-of-silent-genocide-in-tigray/" </w:instrText>
      </w:r>
      <w:r>
        <w:rPr>
          <w:rFonts w:hint="default"/>
          <w:szCs w:val="24"/>
          <w:lang w:val="en-GB"/>
        </w:rPr>
        <w:fldChar w:fldCharType="separate"/>
      </w:r>
      <w:r>
        <w:rPr>
          <w:rStyle w:val="10"/>
          <w:rFonts w:hint="default"/>
          <w:szCs w:val="24"/>
          <w:lang w:val="en-GB"/>
        </w:rPr>
        <w:t>Addis Standard</w:t>
      </w:r>
      <w:r>
        <w:rPr>
          <w:rFonts w:hint="default"/>
          <w:szCs w:val="24"/>
          <w:lang w:val="en-GB"/>
        </w:rPr>
        <w:fldChar w:fldCharType="end"/>
      </w:r>
    </w:p>
    <w:p w14:paraId="6F09E4F8">
      <w:pPr>
        <w:spacing w:line="276" w:lineRule="auto"/>
        <w:rPr>
          <w:rFonts w:hint="default"/>
          <w:szCs w:val="24"/>
        </w:rPr>
      </w:pPr>
      <w:r>
        <w:rPr>
          <w:rFonts w:hint="default"/>
          <w:szCs w:val="24"/>
        </w:rPr>
        <w:t>The Tigray People’s Liberation Front (TPLF) has accused the guarantors of the Pretoria Peace Agreement—the United States, the European Union, the African Union, and the United Nations—of failing to act on their commitments, alleging that a “silent genocide” continues in Tigray nearly three years after the accord was signed.</w:t>
      </w:r>
      <w:r>
        <w:rPr>
          <w:rFonts w:hint="default"/>
          <w:szCs w:val="24"/>
          <w:lang w:val="en-GB"/>
        </w:rPr>
        <w:t xml:space="preserve"> </w:t>
      </w:r>
      <w:r>
        <w:rPr>
          <w:rFonts w:hint="default"/>
          <w:szCs w:val="24"/>
        </w:rPr>
        <w:t>In a statement issued on 29 September 2025, the party urged the international community to intervene to halt what it described as the ongoing destruction of the region. “We appeal to the international community: act now. Do not allow Tigray’s destruction to continue in silence. Honor your commitment to peace, protect the innocent, and prevent another unheeded tragedy,” it said.</w:t>
      </w:r>
      <w:r>
        <w:rPr>
          <w:rFonts w:hint="default"/>
          <w:szCs w:val="24"/>
          <w:lang w:val="en-GB"/>
        </w:rPr>
        <w:t xml:space="preserve"> </w:t>
      </w:r>
      <w:r>
        <w:rPr>
          <w:rFonts w:hint="default"/>
          <w:szCs w:val="24"/>
        </w:rPr>
        <w:t>The TPLF cited worsening humanitarian conditions, referencing the recent death of one-year-and-four-month-old Naod Hailesselassie, killed by a hyena inside an internally displaced persons (IDP) shelter in Mekelle. The party described the incident as emblematic of “the daily torment of thousands displaced from Western Tigray—struggling to survive without food, medicine, shelter, security, or dignity.”</w:t>
      </w:r>
      <w:r>
        <w:rPr>
          <w:rFonts w:hint="default"/>
          <w:szCs w:val="24"/>
          <w:lang w:val="en-GB"/>
        </w:rPr>
        <w:t xml:space="preserve"> </w:t>
      </w:r>
      <w:r>
        <w:rPr>
          <w:rFonts w:hint="default"/>
          <w:szCs w:val="24"/>
        </w:rPr>
        <w:t>The party argued that the Pretoria Agreement—signed in November 2022 with pledges for peace, the return of displaced persons, and the withdrawal of occupying forces—remains largely unimplemented. “Most provisions remain unfulfilled, IDPs remain stranded, and occupation persists. The catastrophe deepens, and the silent genocide continues,” the statement read.</w:t>
      </w:r>
      <w:r>
        <w:rPr>
          <w:rFonts w:hint="default"/>
          <w:szCs w:val="24"/>
          <w:lang w:val="en-GB"/>
        </w:rPr>
        <w:t xml:space="preserve"> </w:t>
      </w:r>
      <w:r>
        <w:rPr>
          <w:rFonts w:hint="default"/>
          <w:szCs w:val="24"/>
        </w:rPr>
        <w:t>According to the TPLF, hundreds of thousands have died in IDP camps over the past five years due to hunger, disease, exposure, and lack of protection. “This is not misfortune—it is systematic neglect, carried out under the guise of ‘peace,’” the statement said.</w:t>
      </w:r>
      <w:r>
        <w:rPr>
          <w:rFonts w:hint="default"/>
          <w:szCs w:val="24"/>
          <w:lang w:val="en-GB"/>
        </w:rPr>
        <w:t xml:space="preserve"> </w:t>
      </w:r>
      <w:r>
        <w:rPr>
          <w:rFonts w:hint="default"/>
          <w:szCs w:val="24"/>
        </w:rPr>
        <w:t>The party demanded “the full implementation of the Pretoria Agreement: the immediate removal of occupying forces and the safe return of IDPs,” while condemning what it called the guarantors’ failure to uphold their responsibilities.</w:t>
      </w:r>
      <w:r>
        <w:rPr>
          <w:rFonts w:hint="default"/>
          <w:szCs w:val="24"/>
          <w:lang w:val="en-GB"/>
        </w:rPr>
        <w:t xml:space="preserve"> </w:t>
      </w:r>
      <w:r>
        <w:rPr>
          <w:rFonts w:hint="default"/>
          <w:szCs w:val="24"/>
        </w:rPr>
        <w:t>In May 2025, NEBE revoked the TPLF’s legal status, citing the party’s failure to implement “corrective measures” ordered by the Board to meet requirements tied to its special status, including convening a general assembly within six months.</w:t>
      </w:r>
      <w:r>
        <w:rPr>
          <w:rFonts w:hint="default"/>
          <w:szCs w:val="24"/>
          <w:lang w:val="en-GB"/>
        </w:rPr>
        <w:t xml:space="preserve"> </w:t>
      </w:r>
      <w:r>
        <w:rPr>
          <w:rFonts w:hint="default"/>
          <w:szCs w:val="24"/>
        </w:rPr>
        <w:t>TPLF rejected the decision, insisting that its legitimacy is guaranteed under the Pretoria Cessation of Hostilities Agreement (CoHA) and not through NEBE’s conditional framework. The party previously dismissed both its suspension and subsequent revocation as “legally insignificant.”</w:t>
      </w:r>
      <w:r>
        <w:rPr>
          <w:rFonts w:hint="default"/>
          <w:szCs w:val="24"/>
          <w:lang w:val="en-GB"/>
        </w:rPr>
        <w:t xml:space="preserve"> </w:t>
      </w:r>
      <w:r>
        <w:rPr>
          <w:rFonts w:hint="default"/>
          <w:szCs w:val="24"/>
        </w:rPr>
        <w:t>Recently, Lt. Gen. Tadesse Werede, President of the Tigray Interim Administration, has dismissed the National Election Board of Ethiopia’s (NEBE) decision to revoke the legal status of the Tigray People’s Liberation Front (TPLF) as “unacceptable,” stressing that the matter requires a political solution rather than bureaucratic sanction.</w:t>
      </w:r>
      <w:r>
        <w:rPr>
          <w:rFonts w:hint="default"/>
          <w:szCs w:val="24"/>
          <w:lang w:val="en-GB"/>
        </w:rPr>
        <w:t xml:space="preserve"> </w:t>
      </w:r>
      <w:r>
        <w:rPr>
          <w:rFonts w:hint="default"/>
          <w:szCs w:val="24"/>
        </w:rPr>
        <w:t>TPLF’s appeal to the African Union</w:t>
      </w:r>
      <w:r>
        <w:rPr>
          <w:rFonts w:hint="default"/>
          <w:szCs w:val="24"/>
          <w:lang w:val="en-GB"/>
        </w:rPr>
        <w:t xml:space="preserve">: </w:t>
      </w:r>
      <w:r>
        <w:rPr>
          <w:rFonts w:hint="default"/>
          <w:szCs w:val="24"/>
        </w:rPr>
        <w:t>On May 2025 Addis Standard reported, citing TPLF’s letter. that Debretsion requested the African Union to take three urgent steps: to convene an emergency session of the High-Level Panel on Ethiopia to mediate the legal status dispute; place the matter on the agenda of the AU Peace and Security Council to assess NEBE’s compliance with the Pretoria Agreement; and pressure the Ethiopian government to suspend the NEBE’s decision until proper AU guidance is provided.</w:t>
      </w:r>
      <w:r>
        <w:rPr>
          <w:rFonts w:hint="default"/>
          <w:szCs w:val="24"/>
          <w:lang w:val="en-GB"/>
        </w:rPr>
        <w:t xml:space="preserve"> </w:t>
      </w:r>
      <w:r>
        <w:rPr>
          <w:rFonts w:hint="default"/>
          <w:szCs w:val="24"/>
        </w:rPr>
        <w:t>The TPLF also alleged that the AU Panel itself had previously recommended its legal reinstatement, but has failed to reconvene or enforce that recommendation.</w:t>
      </w:r>
      <w:r>
        <w:rPr>
          <w:rFonts w:hint="default"/>
          <w:szCs w:val="24"/>
          <w:lang w:val="en-GB"/>
        </w:rPr>
        <w:t xml:space="preserve"> </w:t>
      </w:r>
      <w:r>
        <w:rPr>
          <w:rFonts w:hint="default"/>
          <w:szCs w:val="24"/>
        </w:rPr>
        <w:t>In a letter addressed to AU Commission Chairperson Mahmoud Ali Youssouf on 15 May and copied to key AU and Peace and Security Council (PSC) officials, Debretsion warned that the Ethiopian Election Board’s 14 May decision to revoke TPLF’s legal status, which reclassified the party as an illegal political party, threatens to unravel the cornerstone of the Pretoria Agreement, which brought an end to the devastating two-year war in the Tigray region.</w:t>
      </w:r>
      <w:r>
        <w:rPr>
          <w:rFonts w:hint="default"/>
          <w:szCs w:val="24"/>
          <w:lang w:val="en-GB"/>
        </w:rPr>
        <w:t xml:space="preserve"> </w:t>
      </w:r>
      <w:r>
        <w:rPr>
          <w:rFonts w:hint="default"/>
          <w:szCs w:val="24"/>
        </w:rPr>
        <w:t>“This act fundamentally violates the validity and integrity of the Pretoria Agreement,” wrote Debretsion, calling the decision a “unilateral” move by the federal government that reframes a political matter as a technical administrative issue.</w:t>
      </w:r>
      <w:r>
        <w:rPr>
          <w:rFonts w:hint="default"/>
          <w:szCs w:val="24"/>
          <w:lang w:val="en-GB"/>
        </w:rPr>
        <w:t xml:space="preserve"> </w:t>
      </w:r>
      <w:r>
        <w:rPr>
          <w:rFonts w:hint="default"/>
          <w:szCs w:val="24"/>
        </w:rPr>
        <w:t>NEBE justified the revocation on the basis of the TPLF’s failure to meet legal requirements under Proclamation No. 1332/2016, including holding a general assembly after it was provisionally registered in August 2024. However, the TPLF has consistently maintained that it never accepted the “special registration,” arguing that the Pretoria Agreement restored its pre-war legal status de facto and therefore made re-registration unnecessary.</w:t>
      </w:r>
      <w:r>
        <w:rPr>
          <w:rFonts w:hint="default"/>
          <w:szCs w:val="24"/>
          <w:lang w:val="en-GB"/>
        </w:rPr>
        <w:t xml:space="preserve"> </w:t>
      </w:r>
      <w:r>
        <w:rPr>
          <w:rFonts w:hint="default"/>
          <w:szCs w:val="24"/>
        </w:rPr>
        <w:t>The NEBE’s decision invokes Article 99 of Proclamation No. 1162/2019, which enforces full dissolution of a political party, prohibits further activity, and mandates the liquidation or reassignment of its assets.</w:t>
      </w:r>
      <w:r>
        <w:rPr>
          <w:rFonts w:hint="default"/>
          <w:szCs w:val="24"/>
          <w:lang w:val="en-GB"/>
        </w:rPr>
        <w:t xml:space="preserve"> </w:t>
      </w:r>
      <w:r>
        <w:rPr>
          <w:rFonts w:hint="default"/>
          <w:szCs w:val="24"/>
        </w:rPr>
        <w:t>“The TPLF never requested to register as a new party,” the party stated in its May 9 release. “We are demanding the restoration of our previously recognized legal status based on the Pretoria Agreement.”</w:t>
      </w:r>
      <w:r>
        <w:rPr>
          <w:rFonts w:hint="default"/>
          <w:szCs w:val="24"/>
          <w:lang w:val="en-GB"/>
        </w:rPr>
        <w:t xml:space="preserve"> </w:t>
      </w:r>
      <w:r>
        <w:rPr>
          <w:rFonts w:hint="default"/>
          <w:szCs w:val="24"/>
        </w:rPr>
        <w:t xml:space="preserve">Furthermore, it was reported the President of the Tigray Interim Administration, Lt. Gen. Tadesse Werede, has warned of a “visible cloud of war” amid mounting tensions and called on the federal government to honor key provisions of the Pretoria Peace Agreement. </w:t>
      </w:r>
    </w:p>
    <w:p w14:paraId="77721F03">
      <w:pPr>
        <w:numPr>
          <w:ilvl w:val="0"/>
          <w:numId w:val="1"/>
        </w:numPr>
        <w:spacing w:line="276" w:lineRule="auto"/>
        <w:ind w:left="420" w:leftChars="0" w:hanging="420" w:firstLineChars="0"/>
        <w:rPr>
          <w:rFonts w:hint="default"/>
          <w:szCs w:val="24"/>
        </w:rPr>
      </w:pPr>
      <w:bookmarkStart w:id="3" w:name="_Toc11938"/>
      <w:r>
        <w:rPr>
          <w:rStyle w:val="15"/>
          <w:rFonts w:hint="default"/>
        </w:rPr>
        <w:t>TPLF vows crackdown on media it says ‘fuels division’ in Tigray, journalists warn of press freedom threat</w:t>
      </w:r>
      <w:r>
        <w:rPr>
          <w:rStyle w:val="15"/>
          <w:rFonts w:hint="default"/>
          <w:lang w:val="en-GB"/>
        </w:rPr>
        <w:t xml:space="preserve"> </w:t>
      </w:r>
      <w:bookmarkEnd w:id="3"/>
      <w:r>
        <w:rPr>
          <w:rFonts w:hint="default"/>
          <w:szCs w:val="24"/>
          <w:lang w:val="en-GB"/>
        </w:rPr>
        <w:t xml:space="preserve">- </w:t>
      </w:r>
      <w:r>
        <w:rPr>
          <w:rFonts w:hint="default"/>
          <w:szCs w:val="24"/>
          <w:lang w:val="en-GB"/>
        </w:rPr>
        <w:fldChar w:fldCharType="begin"/>
      </w:r>
      <w:r>
        <w:rPr>
          <w:rFonts w:hint="default"/>
          <w:szCs w:val="24"/>
          <w:lang w:val="en-GB"/>
        </w:rPr>
        <w:instrText xml:space="preserve"> HYPERLINK "https://addisstandard.com/tplf-vows-crackdown-on-media-it-says-fuels-division-in-tigray-journalists-warn-of-press-freedom-threat/" </w:instrText>
      </w:r>
      <w:r>
        <w:rPr>
          <w:rFonts w:hint="default"/>
          <w:szCs w:val="24"/>
          <w:lang w:val="en-GB"/>
        </w:rPr>
        <w:fldChar w:fldCharType="separate"/>
      </w:r>
      <w:r>
        <w:rPr>
          <w:rStyle w:val="10"/>
          <w:rFonts w:hint="default"/>
          <w:szCs w:val="24"/>
          <w:lang w:val="en-GB"/>
        </w:rPr>
        <w:t>Addis Standard</w:t>
      </w:r>
      <w:r>
        <w:rPr>
          <w:rFonts w:hint="default"/>
          <w:szCs w:val="24"/>
          <w:lang w:val="en-GB"/>
        </w:rPr>
        <w:fldChar w:fldCharType="end"/>
      </w:r>
    </w:p>
    <w:p w14:paraId="612380D1">
      <w:pPr>
        <w:spacing w:line="276" w:lineRule="auto"/>
        <w:rPr>
          <w:rFonts w:hint="default"/>
          <w:szCs w:val="24"/>
        </w:rPr>
      </w:pPr>
      <w:r>
        <w:rPr>
          <w:rFonts w:hint="default"/>
          <w:szCs w:val="24"/>
        </w:rPr>
        <w:t>The Tigray People’s Liberation Front (TPLF) has announced a “zero tolerance” stance against media outlets it accuses of fueling division and advancing what it described as the “enemies’ agenda,” sparking concern among journalists and media owners in the region.</w:t>
      </w:r>
      <w:r>
        <w:rPr>
          <w:rFonts w:hint="default"/>
          <w:szCs w:val="24"/>
          <w:lang w:val="en-GB"/>
        </w:rPr>
        <w:t xml:space="preserve"> </w:t>
      </w:r>
      <w:r>
        <w:rPr>
          <w:rFonts w:hint="default"/>
          <w:szCs w:val="24"/>
        </w:rPr>
        <w:t>The warning was delivered last week by Fetlewerk Gebregziabher, head of the TPLF Office, during a meeting with journalists in Mekelle. Without naming specific outlets or presenting evidence, Fetlewerk accused unnamed media of “calling for violence” and serving as the “mouthpiece of a group that betrayed.” She claimed that both the party and the army had agreed to enforce the crackdown.</w:t>
      </w:r>
      <w:r>
        <w:rPr>
          <w:rFonts w:hint="default"/>
          <w:szCs w:val="24"/>
          <w:lang w:val="en-GB"/>
        </w:rPr>
        <w:t xml:space="preserve"> </w:t>
      </w:r>
      <w:r>
        <w:rPr>
          <w:rFonts w:hint="default"/>
          <w:szCs w:val="24"/>
        </w:rPr>
        <w:t>“Media in Tigray have been drawn into the internal party dispute,” she said, blaming elites—scholars, politicians, and media personalities—for destabilizing unity. “You sometimes wonder if some of them are Tigrayans,” she added, before concluding with a warning: “Zero tolerance from now on. We decided.”</w:t>
      </w:r>
      <w:r>
        <w:rPr>
          <w:rFonts w:hint="default"/>
          <w:szCs w:val="24"/>
          <w:lang w:val="en-GB"/>
        </w:rPr>
        <w:t xml:space="preserve"> </w:t>
      </w:r>
      <w:r>
        <w:rPr>
          <w:rFonts w:hint="default"/>
          <w:szCs w:val="24"/>
        </w:rPr>
        <w:t>Private media leaders say the rhetoric amounts to an assault on press freedom. “The phrase ‘zero tolerance’ signifies an alarming assault on press freedom. It reflects a commitment to stifling journalism and silencing all media outlets except their own,” said Abel Guesh, Editor-in-Chief of TBS. He added that journalists at his station are facing growing fear, blackmail, and denial of access to public events.</w:t>
      </w:r>
      <w:r>
        <w:rPr>
          <w:rFonts w:hint="default"/>
          <w:szCs w:val="24"/>
          <w:lang w:val="en-GB"/>
        </w:rPr>
        <w:t xml:space="preserve"> </w:t>
      </w:r>
      <w:r>
        <w:rPr>
          <w:rFonts w:hint="default"/>
          <w:szCs w:val="24"/>
        </w:rPr>
        <w:t>Bereket Mekonen, Media Director at Laza Tigrigna Media, echoed the concern, noting that the speech further complicates the work of independent journalists. “Independent reporting becomes far more difficult under such circumstances. The press should inform the public, not echo political lines,” he said. While Laza has not faced formal censorship since the remarks, Bereket said its journalists are frequently targeted online. “Unity cannot be achieved by silencing independent media; it comes from dialogue, transparency, and trust.”</w:t>
      </w:r>
      <w:r>
        <w:rPr>
          <w:rFonts w:hint="default"/>
          <w:szCs w:val="24"/>
          <w:lang w:val="en-GB"/>
        </w:rPr>
        <w:t xml:space="preserve"> </w:t>
      </w:r>
      <w:r>
        <w:rPr>
          <w:rFonts w:hint="default"/>
          <w:szCs w:val="24"/>
        </w:rPr>
        <w:t xml:space="preserve">Concerns over media freedom in Tigray are not new. In March 2023, Addis Standard reported on the mass resignation of several journalists from Dimtsi Woyane, a TPLF-owned broadcaster in Mekelle. The resignations were linked to restrictions on editorial independence, allegations of party-aligned newsroom leadership, and complaints that programs could be pulled at the discretion of party officials. Journalists also cited restrictions on their personal social media use as part of the censorship environment. </w:t>
      </w:r>
    </w:p>
    <w:p w14:paraId="78D0DCAB">
      <w:pPr>
        <w:numPr>
          <w:ilvl w:val="0"/>
          <w:numId w:val="1"/>
        </w:numPr>
        <w:spacing w:line="276" w:lineRule="auto"/>
        <w:ind w:left="420" w:leftChars="0" w:hanging="420" w:firstLineChars="0"/>
        <w:rPr>
          <w:rFonts w:hint="default"/>
          <w:szCs w:val="24"/>
        </w:rPr>
      </w:pPr>
      <w:bookmarkStart w:id="4" w:name="_Toc12399"/>
      <w:r>
        <w:rPr>
          <w:rStyle w:val="15"/>
          <w:rFonts w:hint="default"/>
        </w:rPr>
        <w:t>World Bank Pledges Continued Support for Ethiopia’s Reform Agenda</w:t>
      </w:r>
      <w:bookmarkEnd w:id="4"/>
      <w:r>
        <w:rPr>
          <w:rFonts w:hint="default"/>
          <w:szCs w:val="24"/>
          <w:lang w:val="en-GB"/>
        </w:rPr>
        <w:t xml:space="preserve"> - </w:t>
      </w:r>
      <w:r>
        <w:rPr>
          <w:rFonts w:hint="default"/>
          <w:szCs w:val="24"/>
          <w:lang w:val="en-GB"/>
        </w:rPr>
        <w:fldChar w:fldCharType="begin"/>
      </w:r>
      <w:r>
        <w:rPr>
          <w:rFonts w:hint="default"/>
          <w:szCs w:val="24"/>
          <w:lang w:val="en-GB"/>
        </w:rPr>
        <w:instrText xml:space="preserve"> HYPERLINK "https://www.fanamc.com/english/world-bank-pledges-continued-support-for-ethiopias-reform-agenda/" </w:instrText>
      </w:r>
      <w:r>
        <w:rPr>
          <w:rFonts w:hint="default"/>
          <w:szCs w:val="24"/>
          <w:lang w:val="en-GB"/>
        </w:rPr>
        <w:fldChar w:fldCharType="separate"/>
      </w:r>
      <w:r>
        <w:rPr>
          <w:rStyle w:val="10"/>
          <w:rFonts w:hint="default"/>
          <w:szCs w:val="24"/>
          <w:lang w:val="en-GB"/>
        </w:rPr>
        <w:t>Fana</w:t>
      </w:r>
      <w:r>
        <w:rPr>
          <w:rFonts w:hint="default"/>
          <w:szCs w:val="24"/>
          <w:lang w:val="en-GB"/>
        </w:rPr>
        <w:fldChar w:fldCharType="end"/>
      </w:r>
    </w:p>
    <w:p w14:paraId="20AAB583">
      <w:pPr>
        <w:spacing w:line="276" w:lineRule="auto"/>
        <w:rPr>
          <w:rFonts w:hint="default"/>
          <w:szCs w:val="24"/>
        </w:rPr>
      </w:pPr>
      <w:r>
        <w:rPr>
          <w:rFonts w:hint="default"/>
          <w:szCs w:val="24"/>
        </w:rPr>
        <w:t>The World Bank has reaffirmed its commitment to supporting Ethiopia’s economic reform.agenda.</w:t>
      </w:r>
      <w:r>
        <w:rPr>
          <w:rFonts w:hint="default"/>
          <w:szCs w:val="24"/>
          <w:lang w:val="en-GB"/>
        </w:rPr>
        <w:t xml:space="preserve"> </w:t>
      </w:r>
      <w:r>
        <w:rPr>
          <w:rFonts w:hint="default"/>
          <w:szCs w:val="24"/>
        </w:rPr>
        <w:t>Finance Minister Ahmed Shide and National Bank Governor Eyob Tekalign met with World Bank Vice President for Eastern and Southern Africa Ndiamé Diop in Addis Ababa to strengthen the partnership supporting Ethiopia’s development priorities.</w:t>
      </w:r>
      <w:r>
        <w:rPr>
          <w:rFonts w:hint="default"/>
          <w:szCs w:val="24"/>
          <w:lang w:val="en-GB"/>
        </w:rPr>
        <w:t xml:space="preserve"> </w:t>
      </w:r>
      <w:r>
        <w:rPr>
          <w:rFonts w:hint="default"/>
          <w:szCs w:val="24"/>
        </w:rPr>
        <w:t>Diop praised Ethiopia’s progress in reducing inflation, boosting exports, and strengthening the financial sector, and emphasized the Bank’s readiness to assist in initiatives aimed at inclusive growth, market integration, expanding access to electricity, and addressing human capital gaps.</w:t>
      </w:r>
      <w:r>
        <w:rPr>
          <w:rFonts w:hint="default"/>
          <w:szCs w:val="24"/>
          <w:lang w:val="en-GB"/>
        </w:rPr>
        <w:t xml:space="preserve"> </w:t>
      </w:r>
      <w:r>
        <w:rPr>
          <w:rFonts w:hint="default"/>
          <w:szCs w:val="24"/>
        </w:rPr>
        <w:t>Shide thanked the World Bank for its broad support and highlighted the results of Ethiopia’s reforms, including inflation reduction, growing exports, and increased revenues.</w:t>
      </w:r>
      <w:r>
        <w:rPr>
          <w:rFonts w:hint="default"/>
          <w:szCs w:val="24"/>
          <w:lang w:val="en-GB"/>
        </w:rPr>
        <w:t xml:space="preserve"> </w:t>
      </w:r>
      <w:r>
        <w:rPr>
          <w:rFonts w:hint="default"/>
          <w:szCs w:val="24"/>
        </w:rPr>
        <w:t>He stressed the need for continued financing to sustain reform momentum and advance key priorities, particularly in energy, improving the business climate, and regional integration.</w:t>
      </w:r>
      <w:r>
        <w:rPr>
          <w:rFonts w:hint="default"/>
          <w:szCs w:val="24"/>
          <w:lang w:val="en-GB"/>
        </w:rPr>
        <w:t xml:space="preserve"> </w:t>
      </w:r>
      <w:r>
        <w:rPr>
          <w:rFonts w:hint="default"/>
          <w:szCs w:val="24"/>
        </w:rPr>
        <w:t>Tekalign highlighted achievements in financial sector reforms and debt sustainability, while underscoring Ethiopia’s progress toward World Trade Organization accession.</w:t>
      </w:r>
      <w:r>
        <w:rPr>
          <w:rFonts w:hint="default"/>
          <w:szCs w:val="24"/>
          <w:lang w:val="en-GB"/>
        </w:rPr>
        <w:t xml:space="preserve"> </w:t>
      </w:r>
      <w:r>
        <w:rPr>
          <w:rFonts w:hint="default"/>
          <w:szCs w:val="24"/>
        </w:rPr>
        <w:t>Diop reaffirmed the World Bank’s commitment to Ethiopia’s reform efforts and praised the progress achieved to date.</w:t>
      </w:r>
      <w:r>
        <w:rPr>
          <w:rFonts w:hint="default"/>
          <w:szCs w:val="24"/>
          <w:lang w:val="en-GB"/>
        </w:rPr>
        <w:t xml:space="preserve"> </w:t>
      </w:r>
      <w:r>
        <w:rPr>
          <w:rFonts w:hint="default"/>
          <w:szCs w:val="24"/>
        </w:rPr>
        <w:t>He highlighted the Bank’s readiness to support key areas to achieve inclusive growth and poverty reduction, including improving the mobility of goods and people for market integration, expanding access to electricity, and addressing human capital gaps.</w:t>
      </w:r>
      <w:r>
        <w:rPr>
          <w:rFonts w:hint="default"/>
          <w:szCs w:val="24"/>
          <w:lang w:val="en-GB"/>
        </w:rPr>
        <w:t xml:space="preserve"> </w:t>
      </w:r>
      <w:r>
        <w:rPr>
          <w:rFonts w:hint="default"/>
          <w:szCs w:val="24"/>
        </w:rPr>
        <w:t>Diop is in Addis Ababa to attend the Human Capital Forum, co-hosted by the Ethiopian government and the World Bank.</w:t>
      </w:r>
    </w:p>
    <w:p w14:paraId="14914984">
      <w:pPr>
        <w:numPr>
          <w:ilvl w:val="0"/>
          <w:numId w:val="1"/>
        </w:numPr>
        <w:spacing w:line="276" w:lineRule="auto"/>
        <w:ind w:left="420" w:leftChars="0" w:hanging="420" w:firstLineChars="0"/>
        <w:rPr>
          <w:rFonts w:hint="default"/>
          <w:szCs w:val="24"/>
        </w:rPr>
      </w:pPr>
      <w:bookmarkStart w:id="5" w:name="_Toc9689"/>
      <w:r>
        <w:rPr>
          <w:rStyle w:val="15"/>
          <w:rFonts w:hint="default"/>
        </w:rPr>
        <w:t>Ethiopian Diaspora Actively Participating in Agenda Gathering Process: National Dialogue Commission</w:t>
      </w:r>
      <w:bookmarkEnd w:id="5"/>
      <w:r>
        <w:rPr>
          <w:rFonts w:hint="default"/>
          <w:szCs w:val="24"/>
          <w:lang w:val="en-GB"/>
        </w:rPr>
        <w:t xml:space="preserve"> - </w:t>
      </w:r>
      <w:r>
        <w:rPr>
          <w:rFonts w:hint="default"/>
          <w:szCs w:val="24"/>
          <w:lang w:val="en-GB"/>
        </w:rPr>
        <w:fldChar w:fldCharType="begin"/>
      </w:r>
      <w:r>
        <w:rPr>
          <w:rFonts w:hint="default"/>
          <w:szCs w:val="24"/>
          <w:lang w:val="en-GB"/>
        </w:rPr>
        <w:instrText xml:space="preserve"> HYPERLINK "https://www.fanamc.com/english/80758-2/" </w:instrText>
      </w:r>
      <w:r>
        <w:rPr>
          <w:rFonts w:hint="default"/>
          <w:szCs w:val="24"/>
          <w:lang w:val="en-GB"/>
        </w:rPr>
        <w:fldChar w:fldCharType="separate"/>
      </w:r>
      <w:r>
        <w:rPr>
          <w:rStyle w:val="10"/>
          <w:rFonts w:hint="default"/>
          <w:szCs w:val="24"/>
          <w:lang w:val="en-GB"/>
        </w:rPr>
        <w:t>Fana</w:t>
      </w:r>
      <w:r>
        <w:rPr>
          <w:rFonts w:hint="default"/>
          <w:szCs w:val="24"/>
          <w:lang w:val="en-GB"/>
        </w:rPr>
        <w:fldChar w:fldCharType="end"/>
      </w:r>
    </w:p>
    <w:p w14:paraId="2379B6CE">
      <w:pPr>
        <w:spacing w:line="276" w:lineRule="auto"/>
        <w:rPr>
          <w:rFonts w:hint="default"/>
          <w:szCs w:val="24"/>
        </w:rPr>
      </w:pPr>
      <w:r>
        <w:rPr>
          <w:rFonts w:hint="default"/>
          <w:szCs w:val="24"/>
        </w:rPr>
        <w:t>The National Dialogue Commission has announced that Ethiopians living abroad and foreign nationals of Ethiopian origin are playing an active role in the agenda gathering process for the historic national dialogue.</w:t>
      </w:r>
      <w:r>
        <w:rPr>
          <w:rFonts w:hint="default"/>
          <w:szCs w:val="24"/>
          <w:lang w:val="en-GB"/>
        </w:rPr>
        <w:t xml:space="preserve"> </w:t>
      </w:r>
      <w:r>
        <w:rPr>
          <w:rFonts w:hint="default"/>
          <w:szCs w:val="24"/>
        </w:rPr>
        <w:t>Commissioner Mulugeta Ago told ENA that members of the diaspora have been engaging actively by submitting agendas to the Commission. The process has been conducted through direct discussions with Ethiopian communities abroad as well as foreigners of Ethiopian origin in North America, Canada, Africa, and the Middle East.</w:t>
      </w:r>
      <w:r>
        <w:rPr>
          <w:rFonts w:hint="default"/>
          <w:szCs w:val="24"/>
          <w:lang w:val="en-GB"/>
        </w:rPr>
        <w:t xml:space="preserve"> </w:t>
      </w:r>
      <w:r>
        <w:rPr>
          <w:rFonts w:hint="default"/>
          <w:szCs w:val="24"/>
        </w:rPr>
        <w:t>He explained that similar consultations will soon be held with Ethiopian diaspora communities in Europe. The Commissioner emphasized that both face-to-face and online discussions have provided constructive exchanges and helped capture diverse perspectives from abroad.</w:t>
      </w:r>
      <w:r>
        <w:rPr>
          <w:rFonts w:hint="default"/>
          <w:szCs w:val="24"/>
          <w:lang w:val="en-GB"/>
        </w:rPr>
        <w:t xml:space="preserve"> </w:t>
      </w:r>
      <w:r>
        <w:rPr>
          <w:rFonts w:hint="default"/>
          <w:szCs w:val="24"/>
        </w:rPr>
        <w:t>According to him, the process will also extend to other parts of the world where the diaspora has already started to present their agendas.</w:t>
      </w:r>
      <w:r>
        <w:rPr>
          <w:rFonts w:hint="default"/>
          <w:szCs w:val="24"/>
          <w:lang w:val="en-GB"/>
        </w:rPr>
        <w:t xml:space="preserve"> </w:t>
      </w:r>
      <w:r>
        <w:rPr>
          <w:rFonts w:hint="default"/>
          <w:szCs w:val="24"/>
        </w:rPr>
        <w:t>Board Chairman of the Addis Ababa Diaspora Association, Zeleke Gessesse, confirmed that opportunities have been created for diaspora members to participate meaningfully in the dialogue, according to a report from ENA.</w:t>
      </w:r>
      <w:r>
        <w:rPr>
          <w:rFonts w:hint="default"/>
          <w:szCs w:val="24"/>
          <w:lang w:val="en-GB"/>
        </w:rPr>
        <w:t xml:space="preserve"> </w:t>
      </w:r>
      <w:r>
        <w:rPr>
          <w:rFonts w:hint="default"/>
          <w:szCs w:val="24"/>
        </w:rPr>
        <w:t>He noted that the community is already submitting its views to the Commission through different platforms designed for this purpose.</w:t>
      </w:r>
    </w:p>
    <w:p w14:paraId="45711D32">
      <w:pPr>
        <w:spacing w:line="276" w:lineRule="auto"/>
        <w:rPr>
          <w:rFonts w:cs="Times New Roman"/>
          <w:szCs w:val="24"/>
        </w:rPr>
      </w:pPr>
      <w:r>
        <w:rPr>
          <w:rFonts w:cs="Times New Roman"/>
          <w:szCs w:val="24"/>
        </w:rPr>
        <w:t>________________________________________________________________________</w:t>
      </w:r>
    </w:p>
    <w:p w14:paraId="1F79E3DA">
      <w:pPr>
        <w:spacing w:line="276" w:lineRule="auto"/>
        <w:outlineLvl w:val="0"/>
        <w:rPr>
          <w:rFonts w:eastAsia="DengXian Light" w:cs="Times New Roman"/>
          <w:b/>
          <w:bCs/>
          <w:color w:val="2F5496"/>
          <w:szCs w:val="24"/>
          <w:u w:val="single"/>
        </w:rPr>
      </w:pPr>
      <w:bookmarkStart w:id="6" w:name="_Toc2775"/>
      <w:r>
        <w:rPr>
          <w:rFonts w:eastAsia="DengXian Light" w:cs="Times New Roman"/>
          <w:b/>
          <w:bCs/>
          <w:color w:val="2F5496"/>
          <w:szCs w:val="24"/>
          <w:u w:val="single"/>
        </w:rPr>
        <w:t>Horn of Africa</w:t>
      </w:r>
      <w:bookmarkEnd w:id="6"/>
    </w:p>
    <w:p w14:paraId="2226F01F">
      <w:pPr>
        <w:pStyle w:val="3"/>
      </w:pPr>
      <w:bookmarkStart w:id="7" w:name="_Toc11037"/>
      <w:r>
        <w:t>Somalia</w:t>
      </w:r>
      <w:bookmarkEnd w:id="7"/>
    </w:p>
    <w:p w14:paraId="4FD4790A">
      <w:pPr>
        <w:numPr>
          <w:ilvl w:val="0"/>
          <w:numId w:val="1"/>
        </w:numPr>
        <w:ind w:left="420" w:leftChars="0" w:hanging="420" w:firstLineChars="0"/>
        <w:rPr>
          <w:rFonts w:hint="default"/>
          <w:szCs w:val="24"/>
        </w:rPr>
      </w:pPr>
      <w:bookmarkStart w:id="8" w:name="_Toc16318"/>
      <w:r>
        <w:rPr>
          <w:rStyle w:val="15"/>
          <w:rFonts w:hint="default"/>
        </w:rPr>
        <w:t>Somalia deploys custodial corps troops to strengthen fight against al-Shabab</w:t>
      </w:r>
      <w:bookmarkEnd w:id="8"/>
      <w:r>
        <w:rPr>
          <w:rFonts w:hint="default"/>
          <w:szCs w:val="24"/>
          <w:lang w:val="en-GB"/>
        </w:rPr>
        <w:t xml:space="preserve"> - </w:t>
      </w:r>
      <w:r>
        <w:rPr>
          <w:rFonts w:hint="default"/>
          <w:szCs w:val="24"/>
          <w:lang w:val="en-GB"/>
        </w:rPr>
        <w:fldChar w:fldCharType="begin"/>
      </w:r>
      <w:r>
        <w:rPr>
          <w:rFonts w:hint="default"/>
          <w:szCs w:val="24"/>
          <w:lang w:val="en-GB"/>
        </w:rPr>
        <w:instrText xml:space="preserve"> HYPERLINK "https://www.hiiraan.com/news4/2025/Oct/203132/somalia_deploys_custodial_corps_troops_to_strengthen_fight_against_al_shabab.aspx?utm_source=hiiraan&amp;utm_medium=SomaliNewsUpdateFront" </w:instrText>
      </w:r>
      <w:r>
        <w:rPr>
          <w:rFonts w:hint="default"/>
          <w:szCs w:val="24"/>
          <w:lang w:val="en-GB"/>
        </w:rPr>
        <w:fldChar w:fldCharType="separate"/>
      </w:r>
      <w:r>
        <w:rPr>
          <w:rStyle w:val="10"/>
          <w:rFonts w:hint="default"/>
          <w:szCs w:val="24"/>
          <w:lang w:val="en-GB"/>
        </w:rPr>
        <w:t>Hiiraan</w:t>
      </w:r>
      <w:r>
        <w:rPr>
          <w:rFonts w:hint="default"/>
          <w:szCs w:val="24"/>
          <w:lang w:val="en-GB"/>
        </w:rPr>
        <w:fldChar w:fldCharType="end"/>
      </w:r>
    </w:p>
    <w:p w14:paraId="0B7E5110">
      <w:pPr>
        <w:rPr>
          <w:rFonts w:hint="default"/>
          <w:szCs w:val="24"/>
        </w:rPr>
      </w:pPr>
      <w:r>
        <w:rPr>
          <w:rFonts w:hint="default"/>
          <w:szCs w:val="24"/>
        </w:rPr>
        <w:t>Somalia’s Custodial Corps has sent newly trained troops to the frontlines to reinforce military operations against al-Shabab, the corps commander announced Tuesday.</w:t>
      </w:r>
      <w:r>
        <w:rPr>
          <w:rFonts w:hint="default"/>
          <w:szCs w:val="24"/>
          <w:lang w:val="en-GB"/>
        </w:rPr>
        <w:t xml:space="preserve"> </w:t>
      </w:r>
      <w:r>
        <w:rPr>
          <w:rFonts w:hint="default"/>
          <w:szCs w:val="24"/>
        </w:rPr>
        <w:t>Maj. Gen. Mahad Abdirahman Aden said the deployment is intended to bolster joint security forces already engaged in combat across southern and central Somalia. He added that the reinforcements will support troops holding battle lines and help intensify ongoing offensives against the extremist group.</w:t>
      </w:r>
      <w:r>
        <w:rPr>
          <w:rFonts w:hint="default"/>
          <w:szCs w:val="24"/>
          <w:lang w:val="en-GB"/>
        </w:rPr>
        <w:t xml:space="preserve"> </w:t>
      </w:r>
      <w:r>
        <w:rPr>
          <w:rFonts w:hint="default"/>
          <w:szCs w:val="24"/>
        </w:rPr>
        <w:t>The Custodial Corps, once limited to guarding prisons and high-risk detainees, has taken on a combat role as part of the government’s broader strategy to mobilize all branches of the security services in the fight against al-Shabab.</w:t>
      </w:r>
      <w:r>
        <w:rPr>
          <w:rFonts w:hint="default"/>
          <w:szCs w:val="24"/>
          <w:lang w:val="en-GB"/>
        </w:rPr>
        <w:t xml:space="preserve"> </w:t>
      </w:r>
      <w:r>
        <w:rPr>
          <w:rFonts w:hint="default"/>
          <w:szCs w:val="24"/>
        </w:rPr>
        <w:t>“The new forces we trained will provide critical support on the frontlines,” Mahad said. He urged the soldiers to demonstrate discipline and professionalism, emphasizing that safeguarding the nation’s security is a duty shared by all Somali forces.</w:t>
      </w:r>
      <w:r>
        <w:rPr>
          <w:rFonts w:hint="default"/>
          <w:szCs w:val="24"/>
          <w:lang w:val="en-GB"/>
        </w:rPr>
        <w:t xml:space="preserve"> </w:t>
      </w:r>
      <w:r>
        <w:rPr>
          <w:rFonts w:hint="default"/>
          <w:szCs w:val="24"/>
        </w:rPr>
        <w:t>Somali troops, backed by international and regional partners, have escalated both airstrikes and ground assaults in recent weeks. The campaigns have targeted al-Shabab bases and hideouts, particularly in southern and central regions where the group maintains its strongest foothold.</w:t>
      </w:r>
      <w:r>
        <w:rPr>
          <w:rFonts w:hint="default"/>
          <w:szCs w:val="24"/>
          <w:lang w:val="en-GB"/>
        </w:rPr>
        <w:t xml:space="preserve"> </w:t>
      </w:r>
      <w:r>
        <w:rPr>
          <w:rFonts w:hint="default"/>
          <w:szCs w:val="24"/>
        </w:rPr>
        <w:t>Al-Shabab, which is linked to al-Qaida, has waged an insurgency in Somalia for more than 15 years, frequently carrying out bombings, assassinations and assaults against military and civilian targets. The government has pledged to intensify operations until the group is defeated.</w:t>
      </w:r>
    </w:p>
    <w:p w14:paraId="1868689C">
      <w:pPr>
        <w:numPr>
          <w:ilvl w:val="0"/>
          <w:numId w:val="1"/>
        </w:numPr>
        <w:ind w:left="420" w:leftChars="0" w:hanging="420" w:firstLineChars="0"/>
        <w:rPr>
          <w:rFonts w:hint="default"/>
          <w:szCs w:val="24"/>
        </w:rPr>
      </w:pPr>
      <w:bookmarkStart w:id="9" w:name="_Toc14320"/>
      <w:r>
        <w:rPr>
          <w:rStyle w:val="15"/>
          <w:rFonts w:hint="default"/>
        </w:rPr>
        <w:t>Trump questions U.S. missions in Somalia and Kenya, calls for shift to fighting ‘enemy within’</w:t>
      </w:r>
      <w:bookmarkEnd w:id="9"/>
      <w:r>
        <w:rPr>
          <w:rFonts w:hint="default"/>
          <w:szCs w:val="24"/>
          <w:lang w:val="en-GB"/>
        </w:rPr>
        <w:t xml:space="preserve"> -</w:t>
      </w:r>
      <w:r>
        <w:rPr>
          <w:rFonts w:hint="default"/>
          <w:szCs w:val="24"/>
          <w:lang w:val="en-GB"/>
        </w:rPr>
        <w:fldChar w:fldCharType="begin"/>
      </w:r>
      <w:r>
        <w:rPr>
          <w:rFonts w:hint="default"/>
          <w:szCs w:val="24"/>
          <w:lang w:val="en-GB"/>
        </w:rPr>
        <w:instrText xml:space="preserve"> HYPERLINK "https://www.hiiraan.com/news4/2025/Oct/203141/trump_questions_u_s_missions_in_somalia_and_kenya_calls_for_shift_to_fighting_enemy_within.aspx?utm_source=hiiraan&amp;utm_medium=SomaliNewsUpdateFront" </w:instrText>
      </w:r>
      <w:r>
        <w:rPr>
          <w:rFonts w:hint="default"/>
          <w:szCs w:val="24"/>
          <w:lang w:val="en-GB"/>
        </w:rPr>
        <w:fldChar w:fldCharType="separate"/>
      </w:r>
      <w:r>
        <w:rPr>
          <w:rStyle w:val="10"/>
          <w:rFonts w:hint="default"/>
          <w:szCs w:val="24"/>
          <w:lang w:val="en-GB"/>
        </w:rPr>
        <w:t xml:space="preserve"> Hiiraan</w:t>
      </w:r>
      <w:r>
        <w:rPr>
          <w:rFonts w:hint="default"/>
          <w:szCs w:val="24"/>
          <w:lang w:val="en-GB"/>
        </w:rPr>
        <w:fldChar w:fldCharType="end"/>
      </w:r>
    </w:p>
    <w:p w14:paraId="569555A1">
      <w:pPr>
        <w:rPr>
          <w:rFonts w:hint="default"/>
          <w:szCs w:val="24"/>
        </w:rPr>
      </w:pPr>
      <w:r>
        <w:rPr>
          <w:rFonts w:hint="default"/>
          <w:szCs w:val="24"/>
        </w:rPr>
        <w:t>U.S. President Donald Trump questioned the need for American military operations in Somalia and Kenya, telling senior military officials to focus on what he called an “invasion from within” at home.</w:t>
      </w:r>
      <w:r>
        <w:rPr>
          <w:rFonts w:hint="default"/>
          <w:szCs w:val="24"/>
          <w:lang w:val="en-GB"/>
        </w:rPr>
        <w:t xml:space="preserve"> </w:t>
      </w:r>
      <w:r>
        <w:rPr>
          <w:rFonts w:hint="default"/>
          <w:szCs w:val="24"/>
        </w:rPr>
        <w:t>Speaking Tuesday at Marine Corps Base Quantico, Virginia, Trump said decades of foreign deployments had diverted troops from domestic security. “For years, politicians assumed our job was to police the far reaches of Kenya and Somalia while America itself faces an invasion,” he said, without identifying the threat. He added that the adversary is harder to detect “because they don’t wear uniforms.”</w:t>
      </w:r>
      <w:r>
        <w:rPr>
          <w:rFonts w:hint="default"/>
          <w:szCs w:val="24"/>
          <w:lang w:val="en-GB"/>
        </w:rPr>
        <w:t xml:space="preserve"> </w:t>
      </w:r>
      <w:r>
        <w:rPr>
          <w:rFonts w:hint="default"/>
          <w:szCs w:val="24"/>
        </w:rPr>
        <w:t>Trump said he would deploy federal forces to additional U.S. cities as part of a shift in priorities. He did not say whether that approach would change missions in East Africa.</w:t>
      </w:r>
      <w:r>
        <w:rPr>
          <w:rFonts w:hint="default"/>
          <w:szCs w:val="24"/>
          <w:lang w:val="en-GB"/>
        </w:rPr>
        <w:t xml:space="preserve"> </w:t>
      </w:r>
      <w:r>
        <w:rPr>
          <w:rFonts w:hint="default"/>
          <w:szCs w:val="24"/>
        </w:rPr>
        <w:t>It is not yet clear whether the remarks will affect U.S. counterterrorism operations against al-Shabab in Somalia and along the Kenya–Somalia border. U.S. Africa Command in recent months has reported airstrikes and partnered operations with Somali and Kenyan forces aimed at degrading the group’s capacity.</w:t>
      </w:r>
      <w:r>
        <w:rPr>
          <w:rFonts w:hint="default"/>
          <w:szCs w:val="24"/>
          <w:lang w:val="en-GB"/>
        </w:rPr>
        <w:t xml:space="preserve"> </w:t>
      </w:r>
      <w:r>
        <w:rPr>
          <w:rFonts w:hint="default"/>
          <w:szCs w:val="24"/>
        </w:rPr>
        <w:t>Somalia has long been a central focus of U.S. security engagement in the Horn of Africa. Over the past decade, Washington has committed roughly $3 billion in security assistance, training, equipment, and partner operations with Somali forces.</w:t>
      </w:r>
      <w:r>
        <w:rPr>
          <w:rFonts w:hint="default"/>
          <w:szCs w:val="24"/>
          <w:lang w:val="en-GB"/>
        </w:rPr>
        <w:t xml:space="preserve"> </w:t>
      </w:r>
      <w:r>
        <w:rPr>
          <w:rFonts w:hint="default"/>
          <w:szCs w:val="24"/>
        </w:rPr>
        <w:t>After a period of near-withdrawal under the first Trump administration, the Biden administration reestablished a small but persistent U.S. presence in 2022, largely in advisory and counterterror roles. The U.S. supports Somalia’s elite Danab Brigade, a special operations unit trained and equipped with U.S. assistance, and in 2024 signed an agreement to build up to five new military bases for the Somali National Army to strengthen capacity against al-Shabab.</w:t>
      </w:r>
      <w:r>
        <w:rPr>
          <w:rFonts w:hint="default"/>
          <w:szCs w:val="24"/>
          <w:lang w:val="en-GB"/>
        </w:rPr>
        <w:t xml:space="preserve"> </w:t>
      </w:r>
      <w:r>
        <w:rPr>
          <w:rFonts w:hint="default"/>
          <w:szCs w:val="24"/>
        </w:rPr>
        <w:t>Kenya, a long-time U.S. security partner, was designated a major non-NATO ally in May 2024 during President William Ruto’s visit to Washington, expanding access to training, equipment and financing. The United States also supports Kenya through a 2023–2028 defence cooperation framework and maintains a presence at Manda Bay, a hub for regional operations.</w:t>
      </w:r>
      <w:r>
        <w:rPr>
          <w:rFonts w:hint="default"/>
          <w:szCs w:val="24"/>
          <w:lang w:val="en-GB"/>
        </w:rPr>
        <w:t xml:space="preserve"> </w:t>
      </w:r>
      <w:r>
        <w:rPr>
          <w:rFonts w:hint="default"/>
          <w:szCs w:val="24"/>
        </w:rPr>
        <w:t>Fourteen months after the designation, the Trump administration has launched a review following a proposal by Congressman James Risch to amend the 2026 National Defense Authorization Act. Any change could reshape U.S. commitments in the Horn of Africa.</w:t>
      </w:r>
      <w:r>
        <w:rPr>
          <w:rFonts w:hint="default"/>
          <w:szCs w:val="24"/>
          <w:lang w:val="en-GB"/>
        </w:rPr>
        <w:t xml:space="preserve"> </w:t>
      </w:r>
      <w:r>
        <w:rPr>
          <w:rFonts w:hint="default"/>
          <w:szCs w:val="24"/>
        </w:rPr>
        <w:t>The United States has kept a limited but strategic footprint in Somalia and Kenya, providing airpower, intelligence and training to partner forces against the al-Qaida-linked al-Shabab. A reassessment in Washington could influence those missions and broader stability efforts across the region.</w:t>
      </w:r>
    </w:p>
    <w:p w14:paraId="287E5054">
      <w:r>
        <w:rPr>
          <w:szCs w:val="24"/>
        </w:rPr>
        <w:t>________________________________________________________________________</w:t>
      </w:r>
    </w:p>
    <w:p w14:paraId="10DC5F8A">
      <w:pPr>
        <w:pStyle w:val="3"/>
        <w:spacing w:line="276" w:lineRule="auto"/>
        <w:rPr>
          <w:szCs w:val="24"/>
        </w:rPr>
      </w:pPr>
      <w:bookmarkStart w:id="10" w:name="_Toc10693"/>
      <w:r>
        <w:rPr>
          <w:szCs w:val="24"/>
        </w:rPr>
        <w:t>Sudan</w:t>
      </w:r>
      <w:bookmarkEnd w:id="10"/>
      <w:r>
        <w:rPr>
          <w:szCs w:val="24"/>
        </w:rPr>
        <w:t xml:space="preserve"> </w:t>
      </w:r>
    </w:p>
    <w:p w14:paraId="28BB8A46">
      <w:pPr>
        <w:numPr>
          <w:ilvl w:val="0"/>
          <w:numId w:val="1"/>
        </w:numPr>
        <w:spacing w:line="276" w:lineRule="auto"/>
        <w:ind w:left="420" w:leftChars="0" w:hanging="420" w:firstLineChars="0"/>
        <w:rPr>
          <w:rFonts w:hint="default"/>
        </w:rPr>
      </w:pPr>
      <w:bookmarkStart w:id="11" w:name="_Toc3834"/>
      <w:r>
        <w:rPr>
          <w:rStyle w:val="15"/>
          <w:rFonts w:hint="default"/>
        </w:rPr>
        <w:t>Sudan to review GERD deal, proposes $100 billion partnership with Saudi Arabia</w:t>
      </w:r>
      <w:bookmarkEnd w:id="11"/>
      <w:r>
        <w:rPr>
          <w:rFonts w:hint="default"/>
          <w:lang w:val="en-GB"/>
        </w:rPr>
        <w:t xml:space="preserve"> - </w:t>
      </w:r>
      <w:r>
        <w:rPr>
          <w:rFonts w:hint="default"/>
          <w:lang w:val="en-GB"/>
        </w:rPr>
        <w:fldChar w:fldCharType="begin"/>
      </w:r>
      <w:r>
        <w:rPr>
          <w:rFonts w:hint="default"/>
          <w:lang w:val="en-GB"/>
        </w:rPr>
        <w:instrText xml:space="preserve"> HYPERLINK "https://sudantribune.com/article/305610" </w:instrText>
      </w:r>
      <w:r>
        <w:rPr>
          <w:rFonts w:hint="default"/>
          <w:lang w:val="en-GB"/>
        </w:rPr>
        <w:fldChar w:fldCharType="separate"/>
      </w:r>
      <w:r>
        <w:rPr>
          <w:rStyle w:val="10"/>
          <w:rFonts w:hint="default"/>
          <w:lang w:val="en-GB"/>
        </w:rPr>
        <w:t>Sudan Tribune</w:t>
      </w:r>
      <w:r>
        <w:rPr>
          <w:rFonts w:hint="default"/>
          <w:lang w:val="en-GB"/>
        </w:rPr>
        <w:fldChar w:fldCharType="end"/>
      </w:r>
    </w:p>
    <w:p w14:paraId="60D76794">
      <w:pPr>
        <w:spacing w:line="276" w:lineRule="auto"/>
        <w:rPr>
          <w:rFonts w:hint="default"/>
        </w:rPr>
      </w:pPr>
      <w:r>
        <w:rPr>
          <w:rFonts w:hint="default"/>
        </w:rPr>
        <w:t>Sudanese Prime Minister Kamil Idris announced on Wednesday his country’s intention to conduct reviews of the Grand Ethiopian Renaissance Dam (GERD) with Ethiopia and Egypt, and said he had presented partnership projects worth $100 billion to Saudi Arabia.</w:t>
      </w:r>
      <w:r>
        <w:rPr>
          <w:rFonts w:hint="default"/>
          <w:lang w:val="en-GB"/>
        </w:rPr>
        <w:t xml:space="preserve"> </w:t>
      </w:r>
      <w:r>
        <w:rPr>
          <w:rFonts w:hint="default"/>
        </w:rPr>
        <w:t>Speaking at a press conference in Port Sudan after returning from the U.N. General Assembly, Idris said he had proposed 100 partnership projects to Riyadh valued at $100 billion, focused on resources in the Red Sea.</w:t>
      </w:r>
      <w:r>
        <w:rPr>
          <w:rFonts w:hint="default"/>
          <w:lang w:val="en-GB"/>
        </w:rPr>
        <w:t xml:space="preserve"> </w:t>
      </w:r>
      <w:r>
        <w:rPr>
          <w:rFonts w:hint="default"/>
        </w:rPr>
        <w:t>He also announced plans for “detailed reviews” of the GERD with Egypt and Ethiopia to “avoid future disasters.”</w:t>
      </w:r>
      <w:r>
        <w:rPr>
          <w:rFonts w:hint="default"/>
          <w:lang w:val="en-GB"/>
        </w:rPr>
        <w:t xml:space="preserve"> </w:t>
      </w:r>
      <w:r>
        <w:rPr>
          <w:rFonts w:hint="default"/>
        </w:rPr>
        <w:t>Turning to the domestic conflict, Idris said the government was preparing an airdrop of humanitarian aid into the besieged city of El Fasher in Darfur and warned that any party interfering with the operation would be “punished.”</w:t>
      </w:r>
      <w:r>
        <w:rPr>
          <w:rFonts w:hint="default"/>
          <w:lang w:val="en-GB"/>
        </w:rPr>
        <w:t xml:space="preserve"> </w:t>
      </w:r>
      <w:r>
        <w:rPr>
          <w:rFonts w:hint="default"/>
        </w:rPr>
        <w:t>The announcement comes as the paramilitary Rapid Support Forces (RSF) continue to block aid convoys to the city. Idris said his government had agreed on new aid corridors with international organizations but defended the state’s right to monitor their work.</w:t>
      </w:r>
      <w:r>
        <w:rPr>
          <w:rFonts w:hint="default"/>
          <w:lang w:val="en-GB"/>
        </w:rPr>
        <w:t xml:space="preserve"> </w:t>
      </w:r>
      <w:r>
        <w:rPr>
          <w:rFonts w:hint="default"/>
        </w:rPr>
        <w:t>“State agencies must monitor humanitarian work,” he said, addressing a frequent complaint from aid groups about restrictions imposed by both warring parties.</w:t>
      </w:r>
      <w:r>
        <w:rPr>
          <w:rFonts w:hint="default"/>
          <w:lang w:val="en-GB"/>
        </w:rPr>
        <w:t xml:space="preserve"> </w:t>
      </w:r>
      <w:r>
        <w:rPr>
          <w:rFonts w:hint="default"/>
        </w:rPr>
        <w:t>Idris said a peace roadmap presented by his government to the United Nations in March had received significant international backing and would be the basis for future talks.</w:t>
      </w:r>
      <w:r>
        <w:rPr>
          <w:rFonts w:hint="default"/>
          <w:lang w:val="en-GB"/>
        </w:rPr>
        <w:t xml:space="preserve"> </w:t>
      </w:r>
      <w:r>
        <w:rPr>
          <w:rFonts w:hint="default"/>
        </w:rPr>
        <w:t>The plan involves a ceasefire tied to the withdrawal of RSF forces from major cities, followed by a transitional period for humanitarian access and the restoration of services before a comprehensive political dialogue.</w:t>
      </w:r>
      <w:r>
        <w:rPr>
          <w:rFonts w:hint="default"/>
          <w:lang w:val="en-GB"/>
        </w:rPr>
        <w:t xml:space="preserve"> </w:t>
      </w:r>
      <w:r>
        <w:rPr>
          <w:rFonts w:hint="default"/>
        </w:rPr>
        <w:t>However, the roadmap’s terms were drafted before significant changes on the battlefield, including the army’s recapture of parts of the capital and RSF advances in other regions, which may potentially complicate its implementation.</w:t>
      </w:r>
    </w:p>
    <w:p w14:paraId="72461949">
      <w:pPr>
        <w:numPr>
          <w:ilvl w:val="0"/>
          <w:numId w:val="1"/>
        </w:numPr>
        <w:spacing w:line="276" w:lineRule="auto"/>
        <w:ind w:left="420" w:leftChars="0" w:hanging="420" w:firstLineChars="0"/>
        <w:rPr>
          <w:rFonts w:hint="default"/>
        </w:rPr>
      </w:pPr>
      <w:bookmarkStart w:id="12" w:name="_Toc4466"/>
      <w:r>
        <w:rPr>
          <w:rStyle w:val="15"/>
          <w:rFonts w:hint="default"/>
        </w:rPr>
        <w:t>Al-Burhan, Egyptian foreign minister discuss efforts to end Sudan’s conflict</w:t>
      </w:r>
      <w:bookmarkEnd w:id="12"/>
      <w:r>
        <w:rPr>
          <w:rFonts w:hint="default"/>
          <w:lang w:val="en-GB"/>
        </w:rPr>
        <w:t xml:space="preserve"> - </w:t>
      </w:r>
      <w:r>
        <w:rPr>
          <w:rFonts w:hint="default"/>
          <w:lang w:val="en-GB"/>
        </w:rPr>
        <w:fldChar w:fldCharType="begin"/>
      </w:r>
      <w:r>
        <w:rPr>
          <w:rFonts w:hint="default"/>
          <w:lang w:val="en-GB"/>
        </w:rPr>
        <w:instrText xml:space="preserve"> HYPERLINK "https://sudantribune.com/article/305598" </w:instrText>
      </w:r>
      <w:r>
        <w:rPr>
          <w:rFonts w:hint="default"/>
          <w:lang w:val="en-GB"/>
        </w:rPr>
        <w:fldChar w:fldCharType="separate"/>
      </w:r>
      <w:r>
        <w:rPr>
          <w:rStyle w:val="10"/>
          <w:rFonts w:hint="default"/>
          <w:lang w:val="en-GB"/>
        </w:rPr>
        <w:t>Sudan Tribune</w:t>
      </w:r>
      <w:r>
        <w:rPr>
          <w:rFonts w:hint="default"/>
          <w:lang w:val="en-GB"/>
        </w:rPr>
        <w:fldChar w:fldCharType="end"/>
      </w:r>
    </w:p>
    <w:p w14:paraId="14FF6298">
      <w:pPr>
        <w:spacing w:line="276" w:lineRule="auto"/>
        <w:rPr>
          <w:rFonts w:hint="default"/>
        </w:rPr>
      </w:pPr>
      <w:r>
        <w:rPr>
          <w:rFonts w:hint="default"/>
        </w:rPr>
        <w:t>Sudan’s military leader, Abdel Fattah al-Burhan, and Egypt’s Foreign Minister, Badr Abdelatty, on Wednesday discussed Egyptian-led efforts to secure a humanitarian truce and end the country’s long-running conflict.</w:t>
      </w:r>
      <w:r>
        <w:rPr>
          <w:rFonts w:hint="default"/>
          <w:lang w:val="en-GB"/>
        </w:rPr>
        <w:t xml:space="preserve"> </w:t>
      </w:r>
      <w:r>
        <w:rPr>
          <w:rFonts w:hint="default"/>
        </w:rPr>
        <w:t>The talks, held in the Red Sea city of Port Sudan, were also attended by Sudanese Foreign Minister Mohieldin Salem and the ambassadors from both nations.</w:t>
      </w:r>
      <w:r>
        <w:rPr>
          <w:rFonts w:hint="default"/>
          <w:lang w:val="en-GB"/>
        </w:rPr>
        <w:t xml:space="preserve"> </w:t>
      </w:r>
      <w:r>
        <w:rPr>
          <w:rFonts w:hint="default"/>
        </w:rPr>
        <w:t>Abdelatty told reporters that Egypt is pushing within all diplomatic frameworks, including the international Quad, to broker a humanitarian truce. The goal, he said, is to achieve an immediate ceasefire and launch a Sudanese-led political process.</w:t>
      </w:r>
      <w:r>
        <w:rPr>
          <w:rFonts w:hint="default"/>
          <w:lang w:val="en-GB"/>
        </w:rPr>
        <w:t xml:space="preserve"> </w:t>
      </w:r>
      <w:r>
        <w:rPr>
          <w:rFonts w:hint="default"/>
        </w:rPr>
        <w:t>The Quad, which includes the United States, Saudi Arabia, Egypt, and the UAE, has proposed a roadmap beginning with a three-month truce, followed by a permanent ceasefire and a political process to restore civilian rule.</w:t>
      </w:r>
      <w:r>
        <w:rPr>
          <w:rFonts w:hint="default"/>
          <w:lang w:val="en-GB"/>
        </w:rPr>
        <w:t xml:space="preserve"> </w:t>
      </w:r>
      <w:r>
        <w:rPr>
          <w:rFonts w:hint="default"/>
        </w:rPr>
        <w:t>Sudan’s government, however, maintains its own plan, presented to the United Nations in March. It calls for a ceasefire only after the paramilitary Rapid Support Forces (RSF) gather in designated areas in Darfur, which would then allow for the return of displaced people and the delivery of aid before any political talks begin.</w:t>
      </w:r>
      <w:r>
        <w:rPr>
          <w:rFonts w:hint="default"/>
          <w:lang w:val="en-GB"/>
        </w:rPr>
        <w:t xml:space="preserve"> </w:t>
      </w:r>
      <w:r>
        <w:rPr>
          <w:rFonts w:hint="default"/>
        </w:rPr>
        <w:t>Abdelatty reiterated Cairo’s support for Sudan’s national institutions, particularly the military, and pledged assistance for post-war reconstruction. He added that Cairo expects al-Burhan to visit at the end of the month for the opening of the Grand Egyptian Museum.</w:t>
      </w:r>
      <w:r>
        <w:rPr>
          <w:rFonts w:hint="default"/>
          <w:lang w:val="en-GB"/>
        </w:rPr>
        <w:t xml:space="preserve"> </w:t>
      </w:r>
      <w:r>
        <w:rPr>
          <w:rFonts w:hint="default"/>
        </w:rPr>
        <w:t>Sudan’s foreign minister, Mohieldin Salem, said the visit was part of ongoing consultations to strengthen bilateral ties.</w:t>
      </w:r>
      <w:r>
        <w:rPr>
          <w:rFonts w:hint="default"/>
          <w:lang w:val="en-GB"/>
        </w:rPr>
        <w:t xml:space="preserve"> </w:t>
      </w:r>
      <w:r>
        <w:rPr>
          <w:rFonts w:hint="default"/>
        </w:rPr>
        <w:t>“Khartoum and Cairo will proceed to address all the problems created by the war,” Salem said, claiming it was “imposed on the Sudanese people with the support of external circles.”</w:t>
      </w:r>
    </w:p>
    <w:p w14:paraId="5935F062">
      <w:pPr>
        <w:numPr>
          <w:ilvl w:val="0"/>
          <w:numId w:val="1"/>
        </w:numPr>
        <w:spacing w:line="276" w:lineRule="auto"/>
        <w:ind w:left="420" w:leftChars="0" w:hanging="420" w:firstLineChars="0"/>
        <w:rPr>
          <w:rFonts w:hint="default"/>
        </w:rPr>
      </w:pPr>
      <w:bookmarkStart w:id="13" w:name="_Toc3378"/>
      <w:r>
        <w:rPr>
          <w:rStyle w:val="15"/>
          <w:rFonts w:hint="default"/>
        </w:rPr>
        <w:t>RSF readies massive drone fleet for imminent attack in Sudan, Yale report says</w:t>
      </w:r>
      <w:bookmarkEnd w:id="13"/>
      <w:r>
        <w:rPr>
          <w:rFonts w:hint="default"/>
          <w:lang w:val="en-GB"/>
        </w:rPr>
        <w:t xml:space="preserve"> - </w:t>
      </w:r>
      <w:r>
        <w:rPr>
          <w:rFonts w:hint="default"/>
          <w:lang w:val="en-GB"/>
        </w:rPr>
        <w:fldChar w:fldCharType="begin"/>
      </w:r>
      <w:r>
        <w:rPr>
          <w:rFonts w:hint="default"/>
          <w:lang w:val="en-GB"/>
        </w:rPr>
        <w:instrText xml:space="preserve"> HYPERLINK "https://sudantribune.com/article/305554" </w:instrText>
      </w:r>
      <w:r>
        <w:rPr>
          <w:rFonts w:hint="default"/>
          <w:lang w:val="en-GB"/>
        </w:rPr>
        <w:fldChar w:fldCharType="separate"/>
      </w:r>
      <w:r>
        <w:rPr>
          <w:rStyle w:val="10"/>
          <w:rFonts w:hint="default"/>
          <w:lang w:val="en-GB"/>
        </w:rPr>
        <w:t>Sudan Tribune</w:t>
      </w:r>
      <w:r>
        <w:rPr>
          <w:rFonts w:hint="default"/>
          <w:lang w:val="en-GB"/>
        </w:rPr>
        <w:fldChar w:fldCharType="end"/>
      </w:r>
    </w:p>
    <w:p w14:paraId="69A26BFB">
      <w:pPr>
        <w:spacing w:line="276" w:lineRule="auto"/>
        <w:rPr>
          <w:rFonts w:hint="default"/>
        </w:rPr>
      </w:pPr>
      <w:r>
        <w:rPr>
          <w:rFonts w:hint="default"/>
        </w:rPr>
        <w:t>Sudan’s paramilitary Rapid Support Forces (RSF) have amassed a fleet of at least 43 attack drones at an airbase in South Darfur, a buildup that researchers at Yale University said on Monday is a “sign of imminent attack.”</w:t>
      </w:r>
      <w:r>
        <w:rPr>
          <w:rFonts w:hint="default"/>
          <w:lang w:val="en-GB"/>
        </w:rPr>
        <w:t xml:space="preserve"> </w:t>
      </w:r>
      <w:r>
        <w:rPr>
          <w:rFonts w:hint="default"/>
        </w:rPr>
        <w:t>In an emergency alert, the Yale School of Public Health’s Humanitarian Research Lab (HRL) said satellite imagery from Monday morning showed the drones and 36 launchers at the RSF-controlled Nyala airport. The entire fleet and 20 of the launchers appeared within the last three days, according to the report.</w:t>
      </w:r>
      <w:r>
        <w:rPr>
          <w:rFonts w:hint="default"/>
          <w:lang w:val="en-GB"/>
        </w:rPr>
        <w:t xml:space="preserve"> </w:t>
      </w:r>
      <w:r>
        <w:rPr>
          <w:rFonts w:hint="default"/>
        </w:rPr>
        <w:t>The report described the build-up as a “clear and present danger to civilians, critical infrastructure, and humanitarian aid access.”</w:t>
      </w:r>
      <w:r>
        <w:rPr>
          <w:rFonts w:hint="default"/>
          <w:lang w:val="en-GB"/>
        </w:rPr>
        <w:t xml:space="preserve"> </w:t>
      </w:r>
      <w:r>
        <w:rPr>
          <w:rFonts w:hint="default"/>
        </w:rPr>
        <w:t>At least 23 of the drones are consistent with the Shahed-136 family of long-range “loitering munitions,” which have a range of 1,500-2,500 kilometres, putting all of Sudan within striking distance, the researchers found. An additional 20 smaller drones were also identified.</w:t>
      </w:r>
      <w:r>
        <w:rPr>
          <w:rFonts w:hint="default"/>
          <w:lang w:val="en-GB"/>
        </w:rPr>
        <w:t xml:space="preserve"> </w:t>
      </w:r>
      <w:r>
        <w:rPr>
          <w:rFonts w:hint="default"/>
        </w:rPr>
        <w:t>The HRL report links the Nyala airbase to past RSF aerial operations, noting that a smaller number of similar drones were seen at the exact location in May 2025, coinciding with a series of RSF drone strikes on Port Sudan, some 1,600 km away.</w:t>
      </w:r>
      <w:r>
        <w:rPr>
          <w:rFonts w:hint="default"/>
          <w:lang w:val="en-GB"/>
        </w:rPr>
        <w:t xml:space="preserve"> </w:t>
      </w:r>
      <w:r>
        <w:rPr>
          <w:rFonts w:hint="default"/>
        </w:rPr>
        <w:t>The alert also cited recent attacks, including a Sept. 19 RSF drone strike on the Al-Safiya mosque in El-Fasher that killed more than 75 people, as evidence of the group’s use of drones to cause mass civilian casualties.</w:t>
      </w:r>
      <w:r>
        <w:rPr>
          <w:rFonts w:hint="default"/>
          <w:lang w:val="en-GB"/>
        </w:rPr>
        <w:t xml:space="preserve"> </w:t>
      </w:r>
      <w:r>
        <w:rPr>
          <w:rFonts w:hint="default"/>
        </w:rPr>
        <w:t>The report identified a potential international supply chain, noting that the drones were consistent with Chinese-made models, such as the Sunflower-200 and ZT-180. It cited other reports alleging that the United Arab Emirates is the RSF’s primary backer and that a UAE state-owned firm had signed a deal to produce the Sunflower-200 model.</w:t>
      </w:r>
    </w:p>
    <w:p w14:paraId="00098A60">
      <w:pPr>
        <w:numPr>
          <w:ilvl w:val="0"/>
          <w:numId w:val="1"/>
        </w:numPr>
        <w:spacing w:line="276" w:lineRule="auto"/>
        <w:ind w:left="420" w:leftChars="0" w:hanging="420" w:firstLineChars="0"/>
        <w:rPr>
          <w:rFonts w:hint="default"/>
        </w:rPr>
      </w:pPr>
      <w:bookmarkStart w:id="14" w:name="_Toc1063"/>
      <w:r>
        <w:rPr>
          <w:rStyle w:val="15"/>
          <w:rFonts w:hint="default"/>
        </w:rPr>
        <w:t>Six killed in RSF shelling of crowded displacement shelter in El Fasher</w:t>
      </w:r>
      <w:r>
        <w:rPr>
          <w:rStyle w:val="15"/>
          <w:rFonts w:hint="default"/>
          <w:lang w:val="en-GB"/>
        </w:rPr>
        <w:t xml:space="preserve"> </w:t>
      </w:r>
      <w:bookmarkEnd w:id="14"/>
      <w:r>
        <w:rPr>
          <w:rFonts w:hint="default"/>
          <w:lang w:val="en-GB"/>
        </w:rPr>
        <w:t xml:space="preserve">- </w:t>
      </w:r>
      <w:r>
        <w:rPr>
          <w:rFonts w:hint="default"/>
          <w:lang w:val="en-GB"/>
        </w:rPr>
        <w:fldChar w:fldCharType="begin"/>
      </w:r>
      <w:r>
        <w:rPr>
          <w:rFonts w:hint="default"/>
          <w:lang w:val="en-GB"/>
        </w:rPr>
        <w:instrText xml:space="preserve"> HYPERLINK "https://sudantribune.com/article/305572" </w:instrText>
      </w:r>
      <w:r>
        <w:rPr>
          <w:rFonts w:hint="default"/>
          <w:lang w:val="en-GB"/>
        </w:rPr>
        <w:fldChar w:fldCharType="separate"/>
      </w:r>
      <w:r>
        <w:rPr>
          <w:rStyle w:val="10"/>
          <w:rFonts w:hint="default"/>
          <w:lang w:val="en-GB"/>
        </w:rPr>
        <w:t>Sudan Tribune</w:t>
      </w:r>
      <w:r>
        <w:rPr>
          <w:rFonts w:hint="default"/>
          <w:lang w:val="en-GB"/>
        </w:rPr>
        <w:fldChar w:fldCharType="end"/>
      </w:r>
    </w:p>
    <w:p w14:paraId="24F09834">
      <w:pPr>
        <w:spacing w:line="276" w:lineRule="auto"/>
        <w:rPr>
          <w:rFonts w:hint="default"/>
        </w:rPr>
      </w:pPr>
      <w:r>
        <w:rPr>
          <w:rFonts w:hint="default"/>
        </w:rPr>
        <w:t>At least six people were killed and dozens injured when Sudan’s Rapid Support Forces (RSF) shelled a crowded displacement shelter in the North Darfur city of El Fasher on Tuesday, a local activist group and witnesses said.</w:t>
      </w:r>
      <w:r>
        <w:rPr>
          <w:rFonts w:hint="default"/>
          <w:lang w:val="en-GB"/>
        </w:rPr>
        <w:t xml:space="preserve"> </w:t>
      </w:r>
      <w:r>
        <w:rPr>
          <w:rFonts w:hint="default"/>
        </w:rPr>
        <w:t>A volunteer, Mohamed Yahya, told Sudan Tribune that three high-explosive shells hit the Abu Bakr Al-Siddiq School shelter as breakfast was being served to thousands of women, children, and the elderly.</w:t>
      </w:r>
      <w:r>
        <w:rPr>
          <w:rFonts w:hint="default"/>
          <w:lang w:val="en-GB"/>
        </w:rPr>
        <w:t xml:space="preserve"> </w:t>
      </w:r>
      <w:r>
        <w:rPr>
          <w:rFonts w:hint="default"/>
        </w:rPr>
        <w:t>The shelling destroyed the shelter’s kitchen and caused extensive damage to the living areas, he said.</w:t>
      </w:r>
      <w:r>
        <w:rPr>
          <w:rFonts w:hint="default"/>
          <w:lang w:val="en-GB"/>
        </w:rPr>
        <w:t xml:space="preserve"> </w:t>
      </w:r>
      <w:r>
        <w:rPr>
          <w:rFonts w:hint="default"/>
        </w:rPr>
        <w:t>The Coordination of El Fasher Resistance Committees confirmed the attack in a statement, saying at least six people were killed and 24 others were injured.</w:t>
      </w:r>
      <w:r>
        <w:rPr>
          <w:rFonts w:hint="default"/>
          <w:lang w:val="en-GB"/>
        </w:rPr>
        <w:t xml:space="preserve"> </w:t>
      </w:r>
      <w:r>
        <w:rPr>
          <w:rFonts w:hint="default"/>
        </w:rPr>
        <w:t>The targeted shelter is one of the largest in the city, housing thousands of people who had previously fled violence in other neighbourhoods and camps. They relied on the now-destroyed kitchen for food.</w:t>
      </w:r>
      <w:r>
        <w:rPr>
          <w:rFonts w:hint="default"/>
          <w:lang w:val="en-GB"/>
        </w:rPr>
        <w:t xml:space="preserve"> </w:t>
      </w:r>
      <w:r>
        <w:rPr>
          <w:rFonts w:hint="default"/>
        </w:rPr>
        <w:t>The attack is the latest in a continuous RSF campaign against El Fasher since April 2024, which has involved drones and heavy artillery and has destroyed markets, hospitals, and water sources.</w:t>
      </w:r>
      <w:r>
        <w:rPr>
          <w:rFonts w:hint="default"/>
          <w:lang w:val="en-GB"/>
        </w:rPr>
        <w:t xml:space="preserve"> </w:t>
      </w:r>
      <w:r>
        <w:rPr>
          <w:rFonts w:hint="default"/>
        </w:rPr>
        <w:t>Humanitarian conditions in the city continue to deteriorate as the RSF prevents the flow of relief, commercial goods, and medicine to besieged civilians, aid groups say.</w:t>
      </w:r>
      <w:r>
        <w:rPr>
          <w:rFonts w:hint="default"/>
          <w:lang w:val="en-GB"/>
        </w:rPr>
        <w:t xml:space="preserve"> </w:t>
      </w:r>
      <w:r>
        <w:rPr>
          <w:rFonts w:hint="default"/>
        </w:rPr>
        <w:t>The attack came a day after the Sudanese army said it had successfully conducted its first aid airdrop over the city since a military aircraft was shot down on April 3.</w:t>
      </w:r>
    </w:p>
    <w:p w14:paraId="3C245737">
      <w:pPr>
        <w:spacing w:line="276" w:lineRule="auto"/>
      </w:pPr>
      <w:r>
        <w:t>________________________________________________________________________</w:t>
      </w:r>
    </w:p>
    <w:p w14:paraId="1AB80DAF">
      <w:pPr>
        <w:spacing w:line="276" w:lineRule="auto"/>
        <w:outlineLvl w:val="0"/>
        <w:rPr>
          <w:rFonts w:eastAsia="DengXian Light" w:cs="Times New Roman"/>
          <w:b/>
          <w:bCs/>
          <w:color w:val="2F5496"/>
          <w:szCs w:val="24"/>
          <w:u w:val="single"/>
        </w:rPr>
      </w:pPr>
      <w:bookmarkStart w:id="15" w:name="_Toc17818"/>
      <w:r>
        <w:rPr>
          <w:rFonts w:eastAsia="DengXian Light" w:cs="Times New Roman"/>
          <w:b/>
          <w:bCs/>
          <w:color w:val="2F5496"/>
          <w:szCs w:val="24"/>
          <w:u w:val="single"/>
        </w:rPr>
        <w:t>Gulf Region and the Middle East</w:t>
      </w:r>
      <w:bookmarkEnd w:id="15"/>
    </w:p>
    <w:p w14:paraId="21F1C4EC">
      <w:pPr>
        <w:pStyle w:val="3"/>
      </w:pPr>
      <w:bookmarkStart w:id="16" w:name="_Toc8060"/>
      <w:r>
        <w:t>Egypt</w:t>
      </w:r>
      <w:bookmarkEnd w:id="16"/>
    </w:p>
    <w:p w14:paraId="4914A7B6">
      <w:pPr>
        <w:numPr>
          <w:ilvl w:val="0"/>
          <w:numId w:val="1"/>
        </w:numPr>
        <w:spacing w:line="276" w:lineRule="auto"/>
        <w:ind w:left="420" w:leftChars="0" w:hanging="420" w:firstLineChars="0"/>
        <w:rPr>
          <w:rFonts w:hint="default"/>
        </w:rPr>
      </w:pPr>
      <w:bookmarkStart w:id="17" w:name="_Toc17308"/>
      <w:r>
        <w:rPr>
          <w:rStyle w:val="15"/>
          <w:rFonts w:hint="default"/>
        </w:rPr>
        <w:t>Egypt, Somalia discuss strengthening military partnership, African security</w:t>
      </w:r>
      <w:bookmarkEnd w:id="17"/>
      <w:r>
        <w:rPr>
          <w:rFonts w:hint="default"/>
          <w:lang w:val="en-GB"/>
        </w:rPr>
        <w:t xml:space="preserve"> - </w:t>
      </w:r>
      <w:r>
        <w:rPr>
          <w:rFonts w:hint="default"/>
          <w:lang w:val="en-GB"/>
        </w:rPr>
        <w:fldChar w:fldCharType="begin"/>
      </w:r>
      <w:r>
        <w:rPr>
          <w:rFonts w:hint="default"/>
          <w:lang w:val="en-GB"/>
        </w:rPr>
        <w:instrText xml:space="preserve"> HYPERLINK "https://www.hiiraan.com/news4/2025/Sept/203119/egypt_somalia_discuss_strengthening_military_partnership_african_security.aspx?utm_source=hiiraan&amp;utm_medium=SomaliNewsUpdateFront" </w:instrText>
      </w:r>
      <w:r>
        <w:rPr>
          <w:rFonts w:hint="default"/>
          <w:lang w:val="en-GB"/>
        </w:rPr>
        <w:fldChar w:fldCharType="separate"/>
      </w:r>
      <w:r>
        <w:rPr>
          <w:rStyle w:val="10"/>
          <w:rFonts w:hint="default"/>
          <w:lang w:val="en-GB"/>
        </w:rPr>
        <w:t>Hiiraan</w:t>
      </w:r>
      <w:r>
        <w:rPr>
          <w:rFonts w:hint="default"/>
          <w:lang w:val="en-GB"/>
        </w:rPr>
        <w:fldChar w:fldCharType="end"/>
      </w:r>
    </w:p>
    <w:p w14:paraId="12479855">
      <w:pPr>
        <w:spacing w:line="276" w:lineRule="auto"/>
        <w:rPr>
          <w:rFonts w:hint="default"/>
        </w:rPr>
      </w:pPr>
      <w:r>
        <w:rPr>
          <w:rFonts w:hint="default"/>
        </w:rPr>
        <w:t>Egyptian Defence Minister and Armed Forces Commander-in-Chief General Abdel Mageed Saqr met in Cairo on Sunday with Somali Defence Minister Ahmed Moallim Fiqi and his delegation to discuss strengthening military cooperation and promoting security across Africa.</w:t>
      </w:r>
      <w:r>
        <w:rPr>
          <w:rFonts w:hint="default"/>
          <w:lang w:val="en-GB"/>
        </w:rPr>
        <w:t xml:space="preserve"> </w:t>
      </w:r>
      <w:r>
        <w:rPr>
          <w:rFonts w:hint="default"/>
        </w:rPr>
        <w:t>During their meeting, the two sides explored ways to expand collaboration between their armed forces and to support joint efforts to enhance peace and stability on the continent.</w:t>
      </w:r>
      <w:r>
        <w:rPr>
          <w:rFonts w:hint="default"/>
          <w:lang w:val="en-GB"/>
        </w:rPr>
        <w:t xml:space="preserve"> </w:t>
      </w:r>
      <w:r>
        <w:rPr>
          <w:rFonts w:hint="default"/>
        </w:rPr>
        <w:t>General Saqr highlighted Egypt’s appreciation of its close ties with Somalia and reaffirmed Cairo’s commitment to broadening cooperation in all areas of defence.</w:t>
      </w:r>
      <w:r>
        <w:rPr>
          <w:rFonts w:hint="default"/>
          <w:lang w:val="en-GB"/>
        </w:rPr>
        <w:t xml:space="preserve"> </w:t>
      </w:r>
      <w:r>
        <w:rPr>
          <w:rFonts w:hint="default"/>
        </w:rPr>
        <w:t>For his part, Minister Fiqi praised Egypt’s ongoing role in promoting peace and security in Africa, noting the alignment of views between Cairo and Mogadishu on many regional and international issues of mutual concern.</w:t>
      </w:r>
      <w:r>
        <w:rPr>
          <w:rFonts w:hint="default"/>
          <w:lang w:val="en-GB"/>
        </w:rPr>
        <w:t xml:space="preserve"> </w:t>
      </w:r>
      <w:r>
        <w:rPr>
          <w:rFonts w:hint="default"/>
        </w:rPr>
        <w:t xml:space="preserve">The meeting was attended by Chief of Staff of the Egyptian Armed Forces Lieutenant General Ahmed Khalifa along with senior military commanders. </w:t>
      </w:r>
    </w:p>
    <w:p w14:paraId="4117917B">
      <w:pPr>
        <w:pStyle w:val="3"/>
        <w:bidi w:val="0"/>
        <w:rPr>
          <w:rFonts w:hint="default"/>
          <w:lang w:val="en-GB"/>
        </w:rPr>
      </w:pPr>
      <w:bookmarkStart w:id="18" w:name="_Toc23701"/>
      <w:r>
        <w:rPr>
          <w:rFonts w:hint="default"/>
          <w:lang w:val="en-GB"/>
        </w:rPr>
        <w:t>Yemen</w:t>
      </w:r>
      <w:bookmarkEnd w:id="18"/>
    </w:p>
    <w:p w14:paraId="33F0E5AE">
      <w:pPr>
        <w:numPr>
          <w:ilvl w:val="0"/>
          <w:numId w:val="1"/>
        </w:numPr>
        <w:spacing w:line="276" w:lineRule="auto"/>
        <w:ind w:left="420" w:leftChars="0" w:hanging="420" w:firstLineChars="0"/>
        <w:rPr>
          <w:rFonts w:hint="default"/>
          <w:lang w:val="en-GB"/>
        </w:rPr>
      </w:pPr>
      <w:bookmarkStart w:id="19" w:name="_Toc29065"/>
      <w:r>
        <w:rPr>
          <w:rStyle w:val="15"/>
          <w:rFonts w:hint="default"/>
          <w:lang w:val="en-GB"/>
        </w:rPr>
        <w:t>Houthis threaten to resume attacks on US ships in the Red Sea</w:t>
      </w:r>
      <w:bookmarkEnd w:id="19"/>
      <w:r>
        <w:rPr>
          <w:rFonts w:hint="default"/>
          <w:lang w:val="en-GB"/>
        </w:rPr>
        <w:t xml:space="preserve"> - </w:t>
      </w:r>
      <w:r>
        <w:rPr>
          <w:rFonts w:hint="default"/>
          <w:lang w:val="en-GB"/>
        </w:rPr>
        <w:fldChar w:fldCharType="begin"/>
      </w:r>
      <w:r>
        <w:rPr>
          <w:rFonts w:hint="default"/>
          <w:lang w:val="en-GB"/>
        </w:rPr>
        <w:instrText xml:space="preserve"> HYPERLINK "https://www.middleeastmonitor.com/20251001-houthis-threaten-to-resume-attacks-on-us-ships-in-the-red-sea/" </w:instrText>
      </w:r>
      <w:r>
        <w:rPr>
          <w:rFonts w:hint="default"/>
          <w:lang w:val="en-GB"/>
        </w:rPr>
        <w:fldChar w:fldCharType="separate"/>
      </w:r>
      <w:r>
        <w:rPr>
          <w:rStyle w:val="10"/>
          <w:rFonts w:hint="default"/>
          <w:lang w:val="en-GB"/>
        </w:rPr>
        <w:t>Middle East Monitor</w:t>
      </w:r>
      <w:r>
        <w:rPr>
          <w:rFonts w:hint="default"/>
          <w:lang w:val="en-GB"/>
        </w:rPr>
        <w:fldChar w:fldCharType="end"/>
      </w:r>
    </w:p>
    <w:p w14:paraId="41C2E6B9">
      <w:pPr>
        <w:spacing w:line="276" w:lineRule="auto"/>
        <w:rPr>
          <w:rFonts w:hint="default"/>
          <w:lang w:val="en-GB"/>
        </w:rPr>
      </w:pPr>
      <w:r>
        <w:rPr>
          <w:rFonts w:hint="default"/>
          <w:lang w:val="en-GB"/>
        </w:rPr>
        <w:t>The Houthis said on Tuesday that they would target major US oil companies, including ExxonMobil and Chevron, despite a previous truce with the administration of US president Donald Trump that prohibited attacks on vessels linked to the United States sailing in the Red Sea and the Gulf of Aden. The Humanitarian Operations Coordination Centre (HOCC), based in Sanaa, announced that it had placed 13 American companies, nine individuals and two vessels on its sanctions list. The centre acts as a linkage between Houthi forces and commercial shipping companies, and is closely connected with Houthi military units. On its website, the centre stated that the entities placed on the sanctions list “will be dealt with under the principle of confrontation.” The announcement serves as a warning to the companies involved, including ConocoPhillips and Diamond S Shipping, that they are considered hostile and at risk of attack.</w:t>
      </w:r>
    </w:p>
    <w:p w14:paraId="3B66B657">
      <w:pPr>
        <w:pStyle w:val="3"/>
        <w:spacing w:line="276" w:lineRule="auto"/>
      </w:pPr>
      <w:bookmarkStart w:id="20" w:name="_Toc835"/>
      <w:r>
        <w:t>Israel</w:t>
      </w:r>
      <w:bookmarkEnd w:id="20"/>
      <w:r>
        <w:t xml:space="preserve"> </w:t>
      </w:r>
    </w:p>
    <w:p w14:paraId="574A1641">
      <w:pPr>
        <w:numPr>
          <w:ilvl w:val="0"/>
          <w:numId w:val="1"/>
        </w:numPr>
        <w:spacing w:line="276" w:lineRule="auto"/>
        <w:ind w:left="420" w:leftChars="0" w:hanging="420" w:firstLineChars="0"/>
        <w:rPr>
          <w:rFonts w:hint="default"/>
        </w:rPr>
      </w:pPr>
      <w:bookmarkStart w:id="21" w:name="_Toc19396"/>
      <w:r>
        <w:rPr>
          <w:rStyle w:val="15"/>
          <w:rFonts w:hint="default"/>
        </w:rPr>
        <w:t>Israeli Navy attacks Gaza aid flotilla, detains 223 activists</w:t>
      </w:r>
      <w:r>
        <w:rPr>
          <w:rStyle w:val="15"/>
          <w:rFonts w:hint="default"/>
          <w:lang w:val="en-GB"/>
        </w:rPr>
        <w:t xml:space="preserve"> </w:t>
      </w:r>
      <w:bookmarkEnd w:id="21"/>
      <w:r>
        <w:rPr>
          <w:rFonts w:hint="default"/>
          <w:lang w:val="en-GB"/>
        </w:rPr>
        <w:t xml:space="preserve">- </w:t>
      </w:r>
      <w:r>
        <w:rPr>
          <w:rFonts w:hint="default"/>
          <w:lang w:val="en-GB"/>
        </w:rPr>
        <w:fldChar w:fldCharType="begin"/>
      </w:r>
      <w:r>
        <w:rPr>
          <w:rFonts w:hint="default"/>
          <w:lang w:val="en-GB"/>
        </w:rPr>
        <w:instrText xml:space="preserve"> HYPERLINK "https://www.middleeastmonitor.com/20251002-israeli-navy-attacks-gaza-aid-flotilla-detains-223-activists/" </w:instrText>
      </w:r>
      <w:r>
        <w:rPr>
          <w:rFonts w:hint="default"/>
          <w:lang w:val="en-GB"/>
        </w:rPr>
        <w:fldChar w:fldCharType="separate"/>
      </w:r>
      <w:r>
        <w:rPr>
          <w:rStyle w:val="10"/>
          <w:rFonts w:hint="default"/>
          <w:lang w:val="en-GB"/>
        </w:rPr>
        <w:t>Middle East Monitor</w:t>
      </w:r>
      <w:r>
        <w:rPr>
          <w:rFonts w:hint="default"/>
          <w:lang w:val="en-GB"/>
        </w:rPr>
        <w:fldChar w:fldCharType="end"/>
      </w:r>
    </w:p>
    <w:p w14:paraId="2EE99F32">
      <w:pPr>
        <w:spacing w:line="276" w:lineRule="auto"/>
      </w:pPr>
      <w:r>
        <w:rPr>
          <w:rFonts w:hint="default"/>
        </w:rPr>
        <w:t>Israeli naval forces attacked an international aid flotilla bound for the besieged Gaza Strip and detained 223 activists on board, organizers said on Thursday, Anadolu reports.</w:t>
      </w:r>
      <w:r>
        <w:rPr>
          <w:rFonts w:hint="default"/>
          <w:lang w:val="en-GB"/>
        </w:rPr>
        <w:t xml:space="preserve"> </w:t>
      </w:r>
      <w:r>
        <w:rPr>
          <w:rFonts w:hint="default"/>
        </w:rPr>
        <w:t>The Global Sumud Flotilla shared on the US social media company Instagram the names and nationalities of 223 activists aboard the 15 of attacked vessels.</w:t>
      </w:r>
      <w:r>
        <w:rPr>
          <w:rFonts w:hint="default"/>
          <w:lang w:val="en-GB"/>
        </w:rPr>
        <w:t xml:space="preserve"> </w:t>
      </w:r>
      <w:r>
        <w:rPr>
          <w:rFonts w:hint="default"/>
        </w:rPr>
        <w:t>The activists aboard the ships attacked by Israel were of various nationalities, including Spaniards, Italians, Brazilians, Turks, Greeks, Americans, Germans, Swedes, British, and French citizens, and many others.</w:t>
      </w:r>
      <w:r>
        <w:rPr>
          <w:rFonts w:hint="default"/>
          <w:lang w:val="en-GB"/>
        </w:rPr>
        <w:t xml:space="preserve"> </w:t>
      </w:r>
      <w:r>
        <w:rPr>
          <w:rFonts w:hint="default"/>
        </w:rPr>
        <w:t>The Israeli Foreign Ministry said through the US social media company X that the detained activists are on their way to Israel’s Ashdod Port, from which they will be deported to Europe.</w:t>
      </w:r>
      <w:r>
        <w:rPr>
          <w:rFonts w:hint="default"/>
          <w:lang w:val="en-GB"/>
        </w:rPr>
        <w:t xml:space="preserve"> </w:t>
      </w:r>
      <w:r>
        <w:rPr>
          <w:rFonts w:hint="default"/>
        </w:rPr>
        <w:t>The official flotilla tracker showed that 21 vessels have been attacked by the Israeli forces, as 23 others continue their way to Gaza.</w:t>
      </w:r>
      <w:r>
        <w:rPr>
          <w:rFonts w:hint="default"/>
          <w:lang w:val="en-GB"/>
        </w:rPr>
        <w:t xml:space="preserve"> </w:t>
      </w:r>
      <w:r>
        <w:rPr>
          <w:rFonts w:hint="default"/>
        </w:rPr>
        <w:t>According to the tracker, the Mikeno vessel has entered Gaza’s territorial waters, however, the tracking signal was lost with the vessel when it was about 9.3 nautical miles from Gaza.</w:t>
      </w:r>
      <w:r>
        <w:rPr>
          <w:rFonts w:hint="default"/>
          <w:lang w:val="en-GB"/>
        </w:rPr>
        <w:t xml:space="preserve"> </w:t>
      </w:r>
      <w:r>
        <w:rPr>
          <w:rFonts w:hint="default"/>
        </w:rPr>
        <w:t>According to Erdem Ozveren, a Turkish activist from the global mission, their vessel is less than 30 nautical miles (55 kilometers) away from Gaza.</w:t>
      </w:r>
      <w:r>
        <w:rPr>
          <w:rFonts w:hint="default"/>
          <w:lang w:val="en-GB"/>
        </w:rPr>
        <w:t xml:space="preserve"> </w:t>
      </w:r>
      <w:r>
        <w:rPr>
          <w:rFonts w:hint="default"/>
        </w:rPr>
        <w:t>The Global Sumud Flotilla said Israeli forces surrounded the vessels as they sailed toward Gaza to challenge a years-long Israeli blockade. Activists reported signal jamming and communication cut aboard most of the boats.</w:t>
      </w:r>
      <w:r>
        <w:rPr>
          <w:rFonts w:hint="default"/>
          <w:lang w:val="en-GB"/>
        </w:rPr>
        <w:t xml:space="preserve"> </w:t>
      </w:r>
      <w:r>
        <w:rPr>
          <w:rFonts w:hint="default"/>
        </w:rPr>
        <w:t>Several activists posted videos on social media showing Israeli naval boats approaching the convoy and ordering them to change course.</w:t>
      </w:r>
      <w:r>
        <w:rPr>
          <w:rFonts w:hint="default"/>
          <w:lang w:val="en-GB"/>
        </w:rPr>
        <w:t xml:space="preserve"> </w:t>
      </w:r>
      <w:r>
        <w:rPr>
          <w:rFonts w:hint="default"/>
        </w:rPr>
        <w:t>“We are being attacked right now by the Zionist (Israeli) army,” the International Committee for Breaking the Siege on Gaza (ICBSG) said on the US social media company X’s platform. “Some ships have already been intercepted and a state of emergency has been declared aboard all vessels.</w:t>
      </w:r>
      <w:r>
        <w:rPr>
          <w:rFonts w:hint="default"/>
          <w:lang w:val="en-GB"/>
        </w:rPr>
        <w:t xml:space="preserve"> </w:t>
      </w:r>
      <w:r>
        <w:rPr>
          <w:rFonts w:hint="default"/>
        </w:rPr>
        <w:t>“High Alert. Our vessels are being illegally intercepted. Cameras are offline, and vessels have been boarded by military personnel.”</w:t>
      </w:r>
      <w:r>
        <w:rPr>
          <w:rFonts w:hint="default"/>
          <w:lang w:val="en-GB"/>
        </w:rPr>
        <w:t xml:space="preserve"> </w:t>
      </w:r>
      <w:r>
        <w:rPr>
          <w:rFonts w:hint="default"/>
        </w:rPr>
        <w:t>Violence</w:t>
      </w:r>
      <w:r>
        <w:rPr>
          <w:rFonts w:hint="default"/>
          <w:lang w:val="en-GB"/>
        </w:rPr>
        <w:t xml:space="preserve">: </w:t>
      </w:r>
      <w:r>
        <w:rPr>
          <w:rFonts w:hint="default"/>
        </w:rPr>
        <w:t>The committee accused Israel of using violence against the activists, saying naval forces rammed one ship, deployed water cannons, and forcibly boarded vessels while “brutally mistreating peaceful detainees from 50 countries around the world.”</w:t>
      </w:r>
      <w:r>
        <w:rPr>
          <w:rFonts w:hint="default"/>
          <w:lang w:val="en-GB"/>
        </w:rPr>
        <w:t xml:space="preserve"> </w:t>
      </w:r>
      <w:r>
        <w:rPr>
          <w:rFonts w:hint="default"/>
        </w:rPr>
        <w:t>The Israeli Foreign Ministry confirmed that some activists were detained and would be moved to an Israeli port.</w:t>
      </w:r>
      <w:r>
        <w:rPr>
          <w:rFonts w:hint="default"/>
          <w:lang w:val="en-GB"/>
        </w:rPr>
        <w:t xml:space="preserve"> </w:t>
      </w:r>
      <w:r>
        <w:rPr>
          <w:rFonts w:hint="default"/>
        </w:rPr>
        <w:t>The ministry said naval forces had reached the flotilla and ordered activists to divert to the port of Ashdod in southern Israel for inspection before aid could be transferred into Gaza.</w:t>
      </w:r>
      <w:r>
        <w:rPr>
          <w:rFonts w:hint="default"/>
          <w:lang w:val="en-GB"/>
        </w:rPr>
        <w:t xml:space="preserve"> </w:t>
      </w:r>
      <w:r>
        <w:rPr>
          <w:rFonts w:hint="default"/>
        </w:rPr>
        <w:t>Israel’s Channel 13, citing sources, said the operation to seize the flotilla would continue until Thursday.</w:t>
      </w:r>
      <w:r>
        <w:rPr>
          <w:rFonts w:hint="default"/>
          <w:lang w:val="en-GB"/>
        </w:rPr>
        <w:t xml:space="preserve"> </w:t>
      </w:r>
      <w:r>
        <w:rPr>
          <w:rFonts w:hint="default"/>
        </w:rPr>
        <w:t>Aid mission</w:t>
      </w:r>
      <w:r>
        <w:rPr>
          <w:rFonts w:hint="default"/>
          <w:lang w:val="en-GB"/>
        </w:rPr>
        <w:t xml:space="preserve">: </w:t>
      </w:r>
      <w:r>
        <w:rPr>
          <w:rFonts w:hint="default"/>
        </w:rPr>
        <w:t>The aid flotilla reached less than 80 nautical miles (148 kilometers) from Gaza before being attacked by the Israeli Navy.</w:t>
      </w:r>
      <w:r>
        <w:rPr>
          <w:rFonts w:hint="default"/>
          <w:lang w:val="en-GB"/>
        </w:rPr>
        <w:t xml:space="preserve"> </w:t>
      </w:r>
      <w:r>
        <w:rPr>
          <w:rFonts w:hint="default"/>
        </w:rPr>
        <w:t>Activists spotted more than 20 Israeli naval boats approaching the convoy, with the navy ordering them to change course.</w:t>
      </w:r>
      <w:r>
        <w:rPr>
          <w:rFonts w:hint="default"/>
          <w:lang w:val="en-GB"/>
        </w:rPr>
        <w:t xml:space="preserve"> </w:t>
      </w:r>
      <w:r>
        <w:rPr>
          <w:rFonts w:hint="default"/>
        </w:rPr>
        <w:t>A spokesman said the approaching Israeli boats were clearly moving to impose a blockade on the flotilla.</w:t>
      </w:r>
      <w:r>
        <w:rPr>
          <w:rFonts w:hint="default"/>
          <w:lang w:val="en-GB"/>
        </w:rPr>
        <w:t xml:space="preserve"> </w:t>
      </w:r>
      <w:r>
        <w:rPr>
          <w:rFonts w:hint="default"/>
        </w:rPr>
        <w:t>The attack came as the convoy already passed the point at which the Madleen and Handala ships were also attacked by Israel in June and July.</w:t>
      </w:r>
      <w:r>
        <w:rPr>
          <w:rFonts w:hint="default"/>
          <w:lang w:val="en-GB"/>
        </w:rPr>
        <w:t xml:space="preserve"> </w:t>
      </w:r>
      <w:r>
        <w:rPr>
          <w:rFonts w:hint="default"/>
        </w:rPr>
        <w:t>Livestream footage from the flotilla showed activists donning life vests as the Israeli boats approached the vessels.</w:t>
      </w:r>
      <w:r>
        <w:rPr>
          <w:rFonts w:hint="default"/>
          <w:lang w:val="en-GB"/>
        </w:rPr>
        <w:t xml:space="preserve"> </w:t>
      </w:r>
      <w:r>
        <w:rPr>
          <w:rFonts w:hint="default"/>
        </w:rPr>
        <w:t>The Israeli raid came despite appeals by international organizations, including Amnesty International, for the protection of the aid flotilla. The UN also warned that any attack on the convoy would be unacceptable.</w:t>
      </w:r>
      <w:r>
        <w:rPr>
          <w:rFonts w:hint="default"/>
          <w:lang w:val="en-GB"/>
        </w:rPr>
        <w:t xml:space="preserve"> </w:t>
      </w:r>
      <w:r>
        <w:rPr>
          <w:rFonts w:hint="default"/>
        </w:rPr>
        <w:t>Israel, as the occupying power, has previously attacked Gaza-bound ships, seized their cargo, and deported activists on board.</w:t>
      </w:r>
      <w:r>
        <w:rPr>
          <w:rFonts w:hint="default"/>
          <w:lang w:val="en-GB"/>
        </w:rPr>
        <w:t xml:space="preserve"> </w:t>
      </w:r>
      <w:r>
        <w:rPr>
          <w:rFonts w:hint="default"/>
        </w:rPr>
        <w:t>The flotilla, loaded mainly with humanitarian aid and medical supplies, set sail at the end of August. It was the first time in years that more than 50 ships have sailed together toward Gaza, carrying 532 civilian supporters from over 45 countries.</w:t>
      </w:r>
      <w:r>
        <w:rPr>
          <w:rFonts w:hint="default"/>
          <w:lang w:val="en-GB"/>
        </w:rPr>
        <w:t xml:space="preserve"> </w:t>
      </w:r>
      <w:r>
        <w:rPr>
          <w:rFonts w:hint="default"/>
        </w:rPr>
        <w:t>Israel has maintained a blockade on Gaza, home to nearly 2.4 million, for nearly 18 years, and further tightened the siege in March when it closed border crossings and blocked food and medicine deliveries, pushing the enclave into famine.</w:t>
      </w:r>
      <w:r>
        <w:rPr>
          <w:rFonts w:hint="default"/>
          <w:lang w:val="en-GB"/>
        </w:rPr>
        <w:t xml:space="preserve"> </w:t>
      </w:r>
      <w:r>
        <w:rPr>
          <w:rFonts w:hint="default"/>
        </w:rPr>
        <w:t>Since October 2023, Israeli bombardment has killed more than 66,000 Palestinians, most of them women and children. The UN and rights groups have repeatedly warned that the enclave is being rendered uninhabitable, with starvation and disease spreading rapidly.</w:t>
      </w:r>
    </w:p>
    <w:p w14:paraId="0CEF8774">
      <w:pPr>
        <w:pStyle w:val="3"/>
      </w:pPr>
      <w:bookmarkStart w:id="22" w:name="_Toc27359"/>
      <w:r>
        <w:t>Palestine</w:t>
      </w:r>
      <w:bookmarkEnd w:id="22"/>
      <w:r>
        <w:t xml:space="preserve"> </w:t>
      </w:r>
    </w:p>
    <w:p w14:paraId="329606ED">
      <w:pPr>
        <w:numPr>
          <w:ilvl w:val="0"/>
          <w:numId w:val="1"/>
        </w:numPr>
        <w:spacing w:line="276" w:lineRule="auto"/>
        <w:ind w:left="420" w:leftChars="0" w:hanging="420" w:firstLineChars="0"/>
        <w:rPr>
          <w:rFonts w:hint="default"/>
        </w:rPr>
      </w:pPr>
      <w:bookmarkStart w:id="23" w:name="_Toc3750"/>
      <w:r>
        <w:rPr>
          <w:rStyle w:val="15"/>
          <w:rFonts w:hint="default"/>
        </w:rPr>
        <w:t>UN General Assembly president warns US veto on Gaza ceasefire undermines body’s credibility</w:t>
      </w:r>
      <w:bookmarkEnd w:id="23"/>
      <w:r>
        <w:rPr>
          <w:rFonts w:hint="default"/>
          <w:lang w:val="en-GB"/>
        </w:rPr>
        <w:t xml:space="preserve"> - </w:t>
      </w:r>
      <w:r>
        <w:rPr>
          <w:rFonts w:hint="default"/>
          <w:lang w:val="en-GB"/>
        </w:rPr>
        <w:fldChar w:fldCharType="begin"/>
      </w:r>
      <w:r>
        <w:rPr>
          <w:rFonts w:hint="default"/>
          <w:lang w:val="en-GB"/>
        </w:rPr>
        <w:instrText xml:space="preserve"> HYPERLINK "https://www.middleeastmonitor.com/20251001-un-general-assembly-president-warns-us-veto-on-gaza-ceasefire-undermines-bodys-credibility/" </w:instrText>
      </w:r>
      <w:r>
        <w:rPr>
          <w:rFonts w:hint="default"/>
          <w:lang w:val="en-GB"/>
        </w:rPr>
        <w:fldChar w:fldCharType="separate"/>
      </w:r>
      <w:r>
        <w:rPr>
          <w:rStyle w:val="10"/>
          <w:rFonts w:hint="default"/>
          <w:lang w:val="en-GB"/>
        </w:rPr>
        <w:t>Middle East Monitor</w:t>
      </w:r>
      <w:r>
        <w:rPr>
          <w:rFonts w:hint="default"/>
          <w:lang w:val="en-GB"/>
        </w:rPr>
        <w:fldChar w:fldCharType="end"/>
      </w:r>
    </w:p>
    <w:p w14:paraId="619CB457">
      <w:pPr>
        <w:spacing w:line="276" w:lineRule="auto"/>
        <w:rPr>
          <w:rFonts w:hint="default"/>
        </w:rPr>
      </w:pPr>
      <w:r>
        <w:rPr>
          <w:rFonts w:hint="default"/>
        </w:rPr>
        <w:t>The president of the UN General Assembly on Wednesday criticized the US’ latest use of its veto on a resolution for a ceasefire in the Gaza Strip, warning that it undermines the organization’s credibility, Anadolu reports.</w:t>
      </w:r>
      <w:r>
        <w:rPr>
          <w:rFonts w:hint="default"/>
          <w:lang w:val="en-GB"/>
        </w:rPr>
        <w:t xml:space="preserve"> </w:t>
      </w:r>
      <w:r>
        <w:rPr>
          <w:rFonts w:hint="default"/>
        </w:rPr>
        <w:t>“A veto can extinguish hope for those trapped in conflict. It falls hardest on those who turn to the United Nations for peace, for relief, for a path out of suffering, for hope. And when it results in constant blockages, it can damage the credibility of this whole institution,” Annalena Baerbock said at a plenary session addressing the US veto at a Sept. 18 Security Council meeting.</w:t>
      </w:r>
      <w:r>
        <w:rPr>
          <w:rFonts w:hint="default"/>
          <w:lang w:val="en-GB"/>
        </w:rPr>
        <w:t xml:space="preserve"> </w:t>
      </w:r>
      <w:r>
        <w:rPr>
          <w:rFonts w:hint="default"/>
        </w:rPr>
        <w:t>Denmark proposed the draft resolution on behalf of the Council’s 10 elected members, namely Algeria, Denmark, Greece, Guyana, Pakistan, Panama, South Korea, Sierra Leone, Slovenia, and Somalia.</w:t>
      </w:r>
      <w:r>
        <w:rPr>
          <w:rFonts w:hint="default"/>
          <w:lang w:val="en-GB"/>
        </w:rPr>
        <w:t xml:space="preserve"> </w:t>
      </w:r>
      <w:r>
        <w:rPr>
          <w:rFonts w:hint="default"/>
        </w:rPr>
        <w:t>While 14 of the 15 Council members voted for the resolution, it was blocked when the US voted — the latest in a series of similar American vetoes of resolutions calling for a Gaza ceasefire.</w:t>
      </w:r>
      <w:r>
        <w:rPr>
          <w:rFonts w:hint="default"/>
          <w:lang w:val="en-GB"/>
        </w:rPr>
        <w:t xml:space="preserve"> </w:t>
      </w:r>
      <w:r>
        <w:rPr>
          <w:rFonts w:hint="default"/>
        </w:rPr>
        <w:t>Stressing that the effects of using the veto are “consequential,” Baerbock said: “The situation in Gaza is precisely the kind of crisis where the United Nations is called upon to act, where failure to act undermines the credibility of this organization itself.”</w:t>
      </w:r>
      <w:r>
        <w:rPr>
          <w:rFonts w:hint="default"/>
          <w:lang w:val="en-GB"/>
        </w:rPr>
        <w:t xml:space="preserve"> </w:t>
      </w:r>
      <w:r>
        <w:rPr>
          <w:rFonts w:hint="default"/>
        </w:rPr>
        <w:t>“Therefore, we owe it not only to the people of Gaza, but also to our institution, if we are to preserve faith in it, to act now, especially as it’s clear what must be done,” she said.</w:t>
      </w:r>
      <w:r>
        <w:rPr>
          <w:rFonts w:hint="default"/>
          <w:lang w:val="en-GB"/>
        </w:rPr>
        <w:t xml:space="preserve"> </w:t>
      </w:r>
      <w:r>
        <w:rPr>
          <w:rFonts w:hint="default"/>
        </w:rPr>
        <w:t>Baerbock, a former German foreign minister, noted that the vetoed resolution’s “core demands” had already been adopted by the General Assembly.</w:t>
      </w:r>
      <w:r>
        <w:rPr>
          <w:rFonts w:hint="default"/>
          <w:lang w:val="en-GB"/>
        </w:rPr>
        <w:t xml:space="preserve"> </w:t>
      </w:r>
      <w:r>
        <w:rPr>
          <w:rFonts w:hint="default"/>
        </w:rPr>
        <w:t>“The good news is that since the moment the veto debate has been put on the agenda, these demands, together with last week’s High-Level International Conference on the two-state solution, have already had an impact, including the clear call that annexation will never be accepted,” she added.</w:t>
      </w:r>
      <w:r>
        <w:rPr>
          <w:rFonts w:hint="default"/>
          <w:lang w:val="en-GB"/>
        </w:rPr>
        <w:t xml:space="preserve"> </w:t>
      </w:r>
      <w:r>
        <w:rPr>
          <w:rFonts w:hint="default"/>
        </w:rPr>
        <w:t>She affirmed her support for the two-state solution for a lasting peace in the Israeli-Palestinian conflict as opposed to ” endless war, permanent occupation.”</w:t>
      </w:r>
      <w:r>
        <w:rPr>
          <w:rFonts w:hint="default"/>
          <w:lang w:val="en-GB"/>
        </w:rPr>
        <w:t xml:space="preserve"> </w:t>
      </w:r>
      <w:r>
        <w:rPr>
          <w:rFonts w:hint="default"/>
        </w:rPr>
        <w:t>Meanwhile, US envoy Mike Waltz defended Washington’s decision, claiming that the resolution failed to meet basic requirements.</w:t>
      </w:r>
      <w:r>
        <w:rPr>
          <w:rFonts w:hint="default"/>
          <w:lang w:val="en-GB"/>
        </w:rPr>
        <w:t xml:space="preserve"> </w:t>
      </w:r>
      <w:r>
        <w:rPr>
          <w:rFonts w:hint="default"/>
        </w:rPr>
        <w:t>“The United States vetoed this resolution as it failed in a very fundamental task,” he said, blaming the resolution for not condemning the Palestinian resistance group, Hamas.</w:t>
      </w:r>
      <w:r>
        <w:rPr>
          <w:rFonts w:hint="default"/>
          <w:lang w:val="en-GB"/>
        </w:rPr>
        <w:t xml:space="preserve"> </w:t>
      </w:r>
      <w:r>
        <w:rPr>
          <w:rFonts w:hint="default"/>
        </w:rPr>
        <w:t>Palestine’s UN envoy Riyad Mansour called for immediate action and stressed that a ceasefire must be ensured “without any delay.”</w:t>
      </w:r>
      <w:r>
        <w:rPr>
          <w:rFonts w:hint="default"/>
          <w:lang w:val="en-GB"/>
        </w:rPr>
        <w:t xml:space="preserve"> </w:t>
      </w:r>
      <w:r>
        <w:rPr>
          <w:rFonts w:hint="default"/>
        </w:rPr>
        <w:t>“Palestinian lives are not less sacred. They are not less worthy. They are not less valuable. Over 2 million lives wait to be saved in Gaza,” he said.</w:t>
      </w:r>
      <w:r>
        <w:rPr>
          <w:rFonts w:hint="default"/>
          <w:lang w:val="en-GB"/>
        </w:rPr>
        <w:t xml:space="preserve"> </w:t>
      </w:r>
      <w:r>
        <w:rPr>
          <w:rFonts w:hint="default"/>
        </w:rPr>
        <w:t>Mansour welcomed diplomatic efforts, including mediation by Qatar, Egypt and Türkiye, and praised US President Donald Trump’s rejection of annexation and displacement.</w:t>
      </w:r>
      <w:r>
        <w:rPr>
          <w:rFonts w:hint="default"/>
          <w:lang w:val="en-GB"/>
        </w:rPr>
        <w:t xml:space="preserve"> </w:t>
      </w:r>
      <w:r>
        <w:rPr>
          <w:rFonts w:hint="default"/>
        </w:rPr>
        <w:t>“There is a critical role for regional and international actors and mechanisms in support of Palestinian governance and independence statehood,” he said.</w:t>
      </w:r>
    </w:p>
    <w:p w14:paraId="68214C67">
      <w:pPr>
        <w:numPr>
          <w:ilvl w:val="0"/>
          <w:numId w:val="1"/>
        </w:numPr>
        <w:spacing w:line="276" w:lineRule="auto"/>
        <w:ind w:left="420" w:leftChars="0" w:hanging="420" w:firstLineChars="0"/>
        <w:rPr>
          <w:rFonts w:hint="default"/>
        </w:rPr>
      </w:pPr>
      <w:bookmarkStart w:id="24" w:name="_Toc7999"/>
      <w:r>
        <w:rPr>
          <w:rStyle w:val="15"/>
          <w:rFonts w:hint="default"/>
        </w:rPr>
        <w:t>EU commissioner urges unhindered humanitarian access to Gaza</w:t>
      </w:r>
      <w:bookmarkEnd w:id="24"/>
      <w:r>
        <w:rPr>
          <w:rFonts w:hint="default"/>
          <w:lang w:val="en-GB"/>
        </w:rPr>
        <w:t xml:space="preserve"> - </w:t>
      </w:r>
      <w:r>
        <w:rPr>
          <w:rFonts w:hint="default"/>
          <w:lang w:val="en-GB"/>
        </w:rPr>
        <w:fldChar w:fldCharType="begin"/>
      </w:r>
      <w:r>
        <w:rPr>
          <w:rFonts w:hint="default"/>
          <w:lang w:val="en-GB"/>
        </w:rPr>
        <w:instrText xml:space="preserve"> HYPERLINK "https://www.middleeastmonitor.com/20251001-eu-commissioner-urges-unhindered-humanitarian-access-to-gaza/" </w:instrText>
      </w:r>
      <w:r>
        <w:rPr>
          <w:rFonts w:hint="default"/>
          <w:lang w:val="en-GB"/>
        </w:rPr>
        <w:fldChar w:fldCharType="separate"/>
      </w:r>
      <w:r>
        <w:rPr>
          <w:rStyle w:val="10"/>
          <w:rFonts w:hint="default"/>
          <w:lang w:val="en-GB"/>
        </w:rPr>
        <w:t>Middle East Monitor</w:t>
      </w:r>
      <w:r>
        <w:rPr>
          <w:rFonts w:hint="default"/>
          <w:lang w:val="en-GB"/>
        </w:rPr>
        <w:fldChar w:fldCharType="end"/>
      </w:r>
    </w:p>
    <w:p w14:paraId="4038C545">
      <w:pPr>
        <w:spacing w:line="276" w:lineRule="auto"/>
        <w:rPr>
          <w:rFonts w:hint="default"/>
        </w:rPr>
      </w:pPr>
      <w:r>
        <w:rPr>
          <w:rFonts w:hint="default"/>
        </w:rPr>
        <w:t>The European commissioner for crisis management on Wednesday called for urgent and unhindered humanitarian access to Gaza, stressing that lives are at stake, Anadolu reports.</w:t>
      </w:r>
      <w:r>
        <w:rPr>
          <w:rFonts w:hint="default"/>
          <w:lang w:val="en-GB"/>
        </w:rPr>
        <w:t xml:space="preserve"> </w:t>
      </w:r>
      <w:r>
        <w:rPr>
          <w:rFonts w:hint="default"/>
        </w:rPr>
        <w:t>“Every day, civilians in Gaza struggle without the medical care they desperately need,” Hadja Lahbib wrote on the US social media platform X.</w:t>
      </w:r>
      <w:r>
        <w:rPr>
          <w:rFonts w:hint="default"/>
          <w:lang w:val="en-GB"/>
        </w:rPr>
        <w:t xml:space="preserve"> </w:t>
      </w:r>
      <w:r>
        <w:rPr>
          <w:rFonts w:hint="default"/>
        </w:rPr>
        <w:t>She said that 94 tones of vital medical supplies arrived in Egypt’s Al-Arish on Monday with the support of the EU, the World Health Organization (WHO), and the World Food Program (WFP).</w:t>
      </w:r>
      <w:r>
        <w:rPr>
          <w:rFonts w:hint="default"/>
          <w:lang w:val="en-GB"/>
        </w:rPr>
        <w:t xml:space="preserve"> </w:t>
      </w:r>
      <w:r>
        <w:rPr>
          <w:rFonts w:hint="default"/>
        </w:rPr>
        <w:t>“When lives are at stake, waiting is not an option. I urge unhindered access for aid now,” she added.</w:t>
      </w:r>
      <w:r>
        <w:rPr>
          <w:rFonts w:hint="default"/>
          <w:lang w:val="en-GB"/>
        </w:rPr>
        <w:t xml:space="preserve"> </w:t>
      </w:r>
      <w:r>
        <w:rPr>
          <w:rFonts w:hint="default"/>
        </w:rPr>
        <w:t>The Israeli army resumed its attacks on the Gaza Strip on March 18 and has since killed 13,280 people and injured 56,675 others, shattering a ceasefire and prisoner exchange agreement that took hold in January.</w:t>
      </w:r>
      <w:r>
        <w:rPr>
          <w:rFonts w:hint="default"/>
          <w:lang w:val="en-GB"/>
        </w:rPr>
        <w:t xml:space="preserve"> </w:t>
      </w:r>
      <w:r>
        <w:rPr>
          <w:rFonts w:hint="default"/>
        </w:rPr>
        <w:t>The Health Ministry in Gaza said on Wednesday that two people, one of them a child, died of starvation in the last 24 hours, taking the famine-related death toll since October 2023 to 455 people, including 151 children.</w:t>
      </w:r>
      <w:r>
        <w:rPr>
          <w:rFonts w:hint="default"/>
          <w:lang w:val="en-GB"/>
        </w:rPr>
        <w:t xml:space="preserve"> </w:t>
      </w:r>
      <w:r>
        <w:rPr>
          <w:rFonts w:hint="default"/>
        </w:rPr>
        <w:t>It said 177 people, including 36 children, have died of starvation since the UN-backed Integrated Food Security Phase Classification (IPC) declared famine in Gaza this August.</w:t>
      </w:r>
      <w:r>
        <w:rPr>
          <w:rFonts w:hint="default"/>
          <w:lang w:val="en-GB"/>
        </w:rPr>
        <w:t xml:space="preserve"> </w:t>
      </w:r>
      <w:r>
        <w:rPr>
          <w:rFonts w:hint="default"/>
        </w:rPr>
        <w:t>On Aug. 22, the IPC declared famine in Gaza City and warned it would spread to central and southern Gaza by the end of September.</w:t>
      </w:r>
      <w:r>
        <w:rPr>
          <w:rFonts w:hint="default"/>
          <w:lang w:val="en-GB"/>
        </w:rPr>
        <w:t xml:space="preserve"> </w:t>
      </w:r>
      <w:r>
        <w:rPr>
          <w:rFonts w:hint="default"/>
        </w:rPr>
        <w:t>Israel has kept all border crossings with Gaza closed since March 2, blocking humanitarian aid and pushing the enclave into famine despite relief trucks piling up at its borders.</w:t>
      </w:r>
      <w:r>
        <w:rPr>
          <w:rFonts w:hint="default"/>
          <w:lang w:val="en-GB"/>
        </w:rPr>
        <w:t xml:space="preserve"> </w:t>
      </w:r>
      <w:r>
        <w:rPr>
          <w:rFonts w:hint="default"/>
        </w:rPr>
        <w:t>Israel occasionally allows very limited amounts of aid to enter, but those shipments fall short of meeting basic needs and have not ended the famine. Most trucks have been looted by gangs that the Gaza administration accuses Israel of protecting.</w:t>
      </w:r>
    </w:p>
    <w:p w14:paraId="22AA2D8F">
      <w:pPr>
        <w:pStyle w:val="3"/>
      </w:pPr>
      <w:bookmarkStart w:id="25" w:name="_Toc15387"/>
      <w:r>
        <w:t>Turkey</w:t>
      </w:r>
      <w:bookmarkEnd w:id="25"/>
    </w:p>
    <w:p w14:paraId="45F1F9FE">
      <w:pPr>
        <w:numPr>
          <w:ilvl w:val="0"/>
          <w:numId w:val="1"/>
        </w:numPr>
        <w:spacing w:line="276" w:lineRule="auto"/>
        <w:ind w:left="420" w:leftChars="0" w:hanging="420" w:firstLineChars="0"/>
        <w:rPr>
          <w:rFonts w:hint="default"/>
        </w:rPr>
      </w:pPr>
      <w:bookmarkStart w:id="26" w:name="_Toc29251"/>
      <w:r>
        <w:rPr>
          <w:rStyle w:val="15"/>
          <w:rFonts w:hint="default"/>
        </w:rPr>
        <w:t>Duty to secure Gaza peace falls first on Islamic world, then global community: Turkish president</w:t>
      </w:r>
      <w:r>
        <w:rPr>
          <w:rStyle w:val="15"/>
          <w:rFonts w:hint="default"/>
          <w:lang w:val="en-GB"/>
        </w:rPr>
        <w:t xml:space="preserve"> </w:t>
      </w:r>
      <w:bookmarkEnd w:id="26"/>
      <w:r>
        <w:rPr>
          <w:rFonts w:hint="default"/>
          <w:lang w:val="en-GB"/>
        </w:rPr>
        <w:t>-</w:t>
      </w:r>
      <w:r>
        <w:rPr>
          <w:rFonts w:hint="default"/>
          <w:lang w:val="en-GB"/>
        </w:rPr>
        <w:fldChar w:fldCharType="begin"/>
      </w:r>
      <w:r>
        <w:rPr>
          <w:rFonts w:hint="default"/>
          <w:lang w:val="en-GB"/>
        </w:rPr>
        <w:instrText xml:space="preserve"> HYPERLINK "https://www.middleeastmonitor.com/20251001-duty-to-secure-gaza-peace-falls-first-on-islamic-world-then-global-community-turkish-president/" </w:instrText>
      </w:r>
      <w:r>
        <w:rPr>
          <w:rFonts w:hint="default"/>
          <w:lang w:val="en-GB"/>
        </w:rPr>
        <w:fldChar w:fldCharType="separate"/>
      </w:r>
      <w:r>
        <w:rPr>
          <w:rStyle w:val="10"/>
          <w:rFonts w:hint="default"/>
          <w:lang w:val="en-GB"/>
        </w:rPr>
        <w:t xml:space="preserve"> Middle East Monitor</w:t>
      </w:r>
      <w:r>
        <w:rPr>
          <w:rFonts w:hint="default"/>
          <w:lang w:val="en-GB"/>
        </w:rPr>
        <w:fldChar w:fldCharType="end"/>
      </w:r>
    </w:p>
    <w:p w14:paraId="6701FD40">
      <w:pPr>
        <w:spacing w:line="276" w:lineRule="auto"/>
        <w:rPr>
          <w:rFonts w:hint="default"/>
        </w:rPr>
      </w:pPr>
      <w:r>
        <w:rPr>
          <w:rFonts w:hint="default"/>
        </w:rPr>
        <w:t>Ensuring Palestinians get the lasting peace they deserve is first the duty of the Islamic world to Gaza, then the global community’s, President Recep Tayyip Erdogan said Wednesday at the opening of the Turkish parliament’s new legislative year, Anadolu reports.</w:t>
      </w:r>
      <w:r>
        <w:rPr>
          <w:rFonts w:hint="default"/>
          <w:lang w:val="en-GB"/>
        </w:rPr>
        <w:t xml:space="preserve"> </w:t>
      </w:r>
      <w:r>
        <w:rPr>
          <w:rFonts w:hint="default"/>
        </w:rPr>
        <w:t>Erdogan stressed that parliament has “passed the Gaza test with pride,” adding that it did so “in a manner worthy of our history and national character.”</w:t>
      </w:r>
      <w:r>
        <w:rPr>
          <w:rFonts w:hint="default"/>
          <w:lang w:val="en-GB"/>
        </w:rPr>
        <w:t xml:space="preserve"> </w:t>
      </w:r>
      <w:r>
        <w:rPr>
          <w:rFonts w:hint="default"/>
        </w:rPr>
        <w:t>He said the most powerful response to Israel’s ongoing actions in Gaza has risen from the parliamentary chamber, highlighting Turkiye’s vocal stance on the humanitarian crisis.</w:t>
      </w:r>
      <w:r>
        <w:rPr>
          <w:rFonts w:hint="default"/>
          <w:lang w:val="en-GB"/>
        </w:rPr>
        <w:t xml:space="preserve"> </w:t>
      </w:r>
      <w:r>
        <w:rPr>
          <w:rFonts w:hint="default"/>
        </w:rPr>
        <w:t>The president vowed that Turkiye will continue its struggle until a sovereign Palestinian state with East Jerusalem as its capital is established along the 1967 borders.</w:t>
      </w:r>
      <w:r>
        <w:rPr>
          <w:rFonts w:hint="default"/>
          <w:lang w:val="en-GB"/>
        </w:rPr>
        <w:t xml:space="preserve"> </w:t>
      </w:r>
      <w:r>
        <w:rPr>
          <w:rFonts w:hint="default"/>
        </w:rPr>
        <w:t>Erdogan’s remarks came just days after US President Donald Trump unveiled a 20-point plan to end Israel’s war on Gaza. The plan calls for prisoner exchanges, the complete disarmament of Hamas, a gradual withdrawal of Israeli forces, and the formation of a technocratic, apolitical Palestinian committee to govern the enclave. A pathway to Palestinian self-determination and statehood is outlined in the plan as a possibility – but not a guarantee.</w:t>
      </w:r>
      <w:r>
        <w:rPr>
          <w:rFonts w:hint="default"/>
          <w:lang w:val="en-GB"/>
        </w:rPr>
        <w:t xml:space="preserve"> </w:t>
      </w:r>
      <w:r>
        <w:rPr>
          <w:rFonts w:hint="default"/>
        </w:rPr>
        <w:t>Gaza</w:t>
      </w:r>
      <w:r>
        <w:rPr>
          <w:rFonts w:hint="default"/>
          <w:lang w:val="en-GB"/>
        </w:rPr>
        <w:t xml:space="preserve">: </w:t>
      </w:r>
      <w:r>
        <w:rPr>
          <w:rFonts w:hint="default"/>
        </w:rPr>
        <w:t>“Gaza has had enough of blood, tears, and destruction. This shame must end immediately,” Erdogan said, calling for an immediate halt to violence in the besieged enclave.</w:t>
      </w:r>
      <w:r>
        <w:rPr>
          <w:rFonts w:hint="default"/>
          <w:lang w:val="en-GB"/>
        </w:rPr>
        <w:t xml:space="preserve"> </w:t>
      </w:r>
      <w:r>
        <w:rPr>
          <w:rFonts w:hint="default"/>
        </w:rPr>
        <w:t>The president further stated that Türkiye’s firm stance on Gaza would make the country “a moral beacon of its time,” leaving a lasting mark in history.</w:t>
      </w:r>
      <w:r>
        <w:rPr>
          <w:rFonts w:hint="default"/>
          <w:lang w:val="en-GB"/>
        </w:rPr>
        <w:t xml:space="preserve"> </w:t>
      </w:r>
      <w:r>
        <w:rPr>
          <w:rFonts w:hint="default"/>
        </w:rPr>
        <w:t>He praised the Palestinian people, saying, “Our brothers and sisters in Gaza are the closest witnesses to Turkiye’s efforts” and “know very well what we have done.”</w:t>
      </w:r>
      <w:r>
        <w:rPr>
          <w:rFonts w:hint="default"/>
          <w:lang w:val="en-GB"/>
        </w:rPr>
        <w:t xml:space="preserve"> </w:t>
      </w:r>
      <w:r>
        <w:rPr>
          <w:rFonts w:hint="default"/>
        </w:rPr>
        <w:t>“We never abandoned the brave sons of Gaza who heroically resisted invading forces that attacked their land with the world’s most modern weapons,” he added.</w:t>
      </w:r>
      <w:r>
        <w:rPr>
          <w:rFonts w:hint="default"/>
          <w:lang w:val="en-GB"/>
        </w:rPr>
        <w:t xml:space="preserve"> </w:t>
      </w:r>
      <w:r>
        <w:rPr>
          <w:rFonts w:hint="default"/>
        </w:rPr>
        <w:t>The president also reaffirmed Turkiye’s commitment to defending Palestinian rights and Jerusalem, saying the country will persist in these efforts until its “final breath.”</w:t>
      </w:r>
      <w:r>
        <w:rPr>
          <w:rFonts w:hint="default"/>
          <w:lang w:val="en-GB"/>
        </w:rPr>
        <w:t xml:space="preserve"> </w:t>
      </w:r>
      <w:r>
        <w:rPr>
          <w:rFonts w:hint="default"/>
        </w:rPr>
        <w:t>Citing a slogan for a free Palestine, he also expressed hope for a future of peace and security, saying: “I sincerely hope that we will see beautiful days when peace, tranquility, and security prevail, from the river to the sea.”</w:t>
      </w:r>
      <w:r>
        <w:rPr>
          <w:rFonts w:hint="default"/>
          <w:lang w:val="en-GB"/>
        </w:rPr>
        <w:t xml:space="preserve"> </w:t>
      </w:r>
      <w:r>
        <w:rPr>
          <w:rFonts w:hint="default"/>
        </w:rPr>
        <w:t>Syria</w:t>
      </w:r>
      <w:r>
        <w:rPr>
          <w:rFonts w:hint="default"/>
          <w:lang w:val="en-GB"/>
        </w:rPr>
        <w:t xml:space="preserve">: </w:t>
      </w:r>
      <w:r>
        <w:rPr>
          <w:rFonts w:hint="default"/>
        </w:rPr>
        <w:t>Turning to Syria, Erdogan said: “We have always backed Syria’s territorial integrity, and continue to strongly oppose any plans to partition the country.”He warned that if diplomatic efforts fail, Türkiye will not allow a repeat of past events in Syria.</w:t>
      </w:r>
      <w:r>
        <w:rPr>
          <w:rFonts w:hint="default"/>
          <w:lang w:val="en-GB"/>
        </w:rPr>
        <w:t xml:space="preserve"> </w:t>
      </w:r>
      <w:r>
        <w:rPr>
          <w:rFonts w:hint="default"/>
        </w:rPr>
        <w:t>Bashar Assad, Syria’s leader for nearly 25 years, fled to Russia last December, ending the Baath Party regime, which had been in power since 1963. A new transitional administration led by Ahmad al-Sharaa was formed in January.</w:t>
      </w:r>
    </w:p>
    <w:p w14:paraId="23BDB397">
      <w:pPr>
        <w:numPr>
          <w:ilvl w:val="0"/>
          <w:numId w:val="1"/>
        </w:numPr>
        <w:spacing w:line="276" w:lineRule="auto"/>
        <w:ind w:left="420" w:leftChars="0" w:hanging="420" w:firstLineChars="0"/>
        <w:rPr>
          <w:rFonts w:hint="default"/>
        </w:rPr>
      </w:pPr>
      <w:bookmarkStart w:id="27" w:name="_Toc32644"/>
      <w:r>
        <w:rPr>
          <w:rStyle w:val="15"/>
          <w:rFonts w:hint="default"/>
        </w:rPr>
        <w:t>Saudi Arabia, Turkey, Jordan &amp; Qatar angered by Netanyahu’s changes to Trump’s Gaza plan</w:t>
      </w:r>
      <w:bookmarkEnd w:id="27"/>
      <w:r>
        <w:rPr>
          <w:rFonts w:hint="default"/>
          <w:lang w:val="en-GB"/>
        </w:rPr>
        <w:t xml:space="preserve"> - </w:t>
      </w:r>
      <w:r>
        <w:rPr>
          <w:rFonts w:hint="default"/>
          <w:lang w:val="en-GB"/>
        </w:rPr>
        <w:fldChar w:fldCharType="begin"/>
      </w:r>
      <w:r>
        <w:rPr>
          <w:rFonts w:hint="default"/>
          <w:lang w:val="en-GB"/>
        </w:rPr>
        <w:instrText xml:space="preserve"> HYPERLINK "https://www.middleeastmonitor.com/20251001-saudi-arabia-turkey-jordan-qatar-angered-by-netanyahus-changes-to-trumps-gaza-plan/" </w:instrText>
      </w:r>
      <w:r>
        <w:rPr>
          <w:rFonts w:hint="default"/>
          <w:lang w:val="en-GB"/>
        </w:rPr>
        <w:fldChar w:fldCharType="separate"/>
      </w:r>
      <w:r>
        <w:rPr>
          <w:rStyle w:val="10"/>
          <w:rFonts w:hint="default"/>
          <w:lang w:val="en-GB"/>
        </w:rPr>
        <w:t>Middle East Monitor</w:t>
      </w:r>
      <w:r>
        <w:rPr>
          <w:rFonts w:hint="default"/>
          <w:lang w:val="en-GB"/>
        </w:rPr>
        <w:fldChar w:fldCharType="end"/>
      </w:r>
    </w:p>
    <w:p w14:paraId="2768A2C1">
      <w:pPr>
        <w:spacing w:line="276" w:lineRule="auto"/>
        <w:rPr>
          <w:rFonts w:hint="default"/>
        </w:rPr>
      </w:pPr>
      <w:r>
        <w:rPr>
          <w:rFonts w:hint="default"/>
        </w:rPr>
        <w:t>Major changes made by Israeli Prime Minister Benjamin Netanyahu to US President Donald Trump’s Gaza plan on Monday have sparked anger among Arab officials taking part in the negotiations.</w:t>
      </w:r>
      <w:r>
        <w:rPr>
          <w:rFonts w:hint="default"/>
          <w:lang w:val="en-GB"/>
        </w:rPr>
        <w:t xml:space="preserve"> </w:t>
      </w:r>
      <w:r>
        <w:rPr>
          <w:rFonts w:hint="default"/>
        </w:rPr>
        <w:t>According to informed sources, officials from Saudi Arabia, Egypt, Jordan and Turkey were particularly displeased with the amendments.</w:t>
      </w:r>
      <w:r>
        <w:rPr>
          <w:rFonts w:hint="default"/>
          <w:lang w:val="en-GB"/>
        </w:rPr>
        <w:t xml:space="preserve"> </w:t>
      </w:r>
      <w:r>
        <w:rPr>
          <w:rFonts w:hint="default"/>
        </w:rPr>
        <w:t>The sources explained that the agreement now being presented to Hamas is fundamentally different from the version previously drafted by the United States in coordination with a group of Arab and Islamic countries.</w:t>
      </w:r>
      <w:r>
        <w:rPr>
          <w:rFonts w:hint="default"/>
          <w:lang w:val="en-GB"/>
        </w:rPr>
        <w:t xml:space="preserve"> </w:t>
      </w:r>
      <w:r>
        <w:rPr>
          <w:rFonts w:hint="default"/>
        </w:rPr>
        <w:t>They stressed that Netanyahu’s last-minute intervention turned the plan from a joint initiative into a document reflecting Israel’s security priorities rather than a fair framework for peace.</w:t>
      </w:r>
      <w:r>
        <w:rPr>
          <w:rFonts w:hint="default"/>
          <w:lang w:val="en-GB"/>
        </w:rPr>
        <w:t xml:space="preserve"> </w:t>
      </w:r>
      <w:r>
        <w:rPr>
          <w:rFonts w:hint="default"/>
        </w:rPr>
        <w:t>In a closed six-hour meeting on Sunday, White House envoy Steve Witkoff and Trump’s son-in-law Jared Kushner met Netanyahu and his close adviser Ron Dermer. During the talks, Netanyahu managed to introduce a series of significant changes, particularly to clauses concerning the conditions and timetable for the withdrawal of Israeli forces from Gaza.</w:t>
      </w:r>
      <w:r>
        <w:rPr>
          <w:rFonts w:hint="default"/>
          <w:lang w:val="en-GB"/>
        </w:rPr>
        <w:t xml:space="preserve"> </w:t>
      </w:r>
      <w:r>
        <w:rPr>
          <w:rFonts w:hint="default"/>
        </w:rPr>
        <w:t>The final version of the plan now links Israel’s withdrawal directly to progress in dismantling Hamas’s weapons. It goes even further by granting Israel a veto over the entire process.</w:t>
      </w:r>
      <w:r>
        <w:rPr>
          <w:rFonts w:hint="default"/>
          <w:lang w:val="en-GB"/>
        </w:rPr>
        <w:t xml:space="preserve"> </w:t>
      </w:r>
      <w:r>
        <w:rPr>
          <w:rFonts w:hint="default"/>
        </w:rPr>
        <w:t>The news outlet Axios quoted US officials as saying they were ready to consider requests from Hamas for clarifications or specific adjustments, but would not reopen the entire plan for renegotiation.</w:t>
      </w:r>
    </w:p>
    <w:p w14:paraId="755C37F9">
      <w:pPr>
        <w:spacing w:line="276" w:lineRule="auto"/>
        <w:rPr>
          <w:rFonts w:cs="Times New Roman"/>
          <w:szCs w:val="24"/>
        </w:rPr>
      </w:pPr>
      <w:r>
        <w:rPr>
          <w:rFonts w:cs="Times New Roman"/>
          <w:b/>
          <w:szCs w:val="24"/>
        </w:rPr>
        <w:t>_______________________________________________________________________</w:t>
      </w:r>
    </w:p>
    <w:p w14:paraId="6DDC485C">
      <w:pPr>
        <w:spacing w:line="276" w:lineRule="auto"/>
        <w:outlineLvl w:val="0"/>
        <w:rPr>
          <w:rFonts w:eastAsia="DengXian Light" w:cs="Times New Roman"/>
          <w:b/>
          <w:bCs/>
          <w:color w:val="2F5496"/>
          <w:szCs w:val="24"/>
          <w:u w:val="single"/>
        </w:rPr>
      </w:pPr>
      <w:bookmarkStart w:id="28" w:name="_Toc1731"/>
      <w:r>
        <w:rPr>
          <w:rFonts w:eastAsia="DengXian Light" w:cs="Times New Roman"/>
          <w:b/>
          <w:bCs/>
          <w:color w:val="2F5496"/>
          <w:szCs w:val="24"/>
          <w:u w:val="single"/>
        </w:rPr>
        <w:t>Global Powers</w:t>
      </w:r>
      <w:bookmarkEnd w:id="28"/>
    </w:p>
    <w:p w14:paraId="36D0E9D5">
      <w:pPr>
        <w:pStyle w:val="3"/>
        <w:spacing w:line="276" w:lineRule="auto"/>
        <w:rPr>
          <w:lang w:eastAsia="zh-CN"/>
        </w:rPr>
      </w:pPr>
      <w:bookmarkStart w:id="29" w:name="_Toc26991"/>
      <w:r>
        <w:rPr>
          <w:rFonts w:hint="default"/>
          <w:lang w:val="en-GB" w:eastAsia="zh-CN"/>
        </w:rPr>
        <w:t>US</w:t>
      </w:r>
      <w:bookmarkEnd w:id="29"/>
      <w:r>
        <w:rPr>
          <w:lang w:eastAsia="zh-CN"/>
        </w:rPr>
        <w:t xml:space="preserve"> </w:t>
      </w:r>
    </w:p>
    <w:p w14:paraId="4FEF4B88">
      <w:pPr>
        <w:numPr>
          <w:ilvl w:val="0"/>
          <w:numId w:val="1"/>
        </w:numPr>
        <w:spacing w:line="276" w:lineRule="auto"/>
        <w:ind w:left="420" w:leftChars="0" w:hanging="420" w:firstLineChars="0"/>
        <w:rPr>
          <w:rFonts w:hint="default"/>
        </w:rPr>
      </w:pPr>
      <w:bookmarkStart w:id="30" w:name="_Toc2019"/>
      <w:r>
        <w:rPr>
          <w:rStyle w:val="15"/>
          <w:rFonts w:hint="default"/>
        </w:rPr>
        <w:t>US imposes new sanctions on Iran after UN ‘snapback’ measures restored</w:t>
      </w:r>
      <w:bookmarkEnd w:id="30"/>
      <w:r>
        <w:rPr>
          <w:rFonts w:hint="default"/>
          <w:lang w:val="en-GB"/>
        </w:rPr>
        <w:t xml:space="preserve"> - </w:t>
      </w:r>
      <w:r>
        <w:rPr>
          <w:rFonts w:hint="default"/>
          <w:lang w:val="en-GB"/>
        </w:rPr>
        <w:fldChar w:fldCharType="begin"/>
      </w:r>
      <w:r>
        <w:rPr>
          <w:rFonts w:hint="default"/>
          <w:lang w:val="en-GB"/>
        </w:rPr>
        <w:instrText xml:space="preserve"> HYPERLINK "https://www.middleeastmonitor.com/20251001-us-imposes-new-sanctions-on-iran-after-un-snapback-measures-restored/" </w:instrText>
      </w:r>
      <w:r>
        <w:rPr>
          <w:rFonts w:hint="default"/>
          <w:lang w:val="en-GB"/>
        </w:rPr>
        <w:fldChar w:fldCharType="separate"/>
      </w:r>
      <w:r>
        <w:rPr>
          <w:rStyle w:val="10"/>
          <w:rFonts w:hint="default"/>
          <w:lang w:val="en-GB"/>
        </w:rPr>
        <w:t>Middle East Monitor</w:t>
      </w:r>
      <w:r>
        <w:rPr>
          <w:rFonts w:hint="default"/>
          <w:lang w:val="en-GB"/>
        </w:rPr>
        <w:fldChar w:fldCharType="end"/>
      </w:r>
    </w:p>
    <w:p w14:paraId="09EF2829">
      <w:pPr>
        <w:spacing w:line="276" w:lineRule="auto"/>
      </w:pPr>
      <w:r>
        <w:rPr>
          <w:rFonts w:hint="default"/>
        </w:rPr>
        <w:t>The US on Wednesday announced new sanctions on dozens of individuals and entities tied to Iran’s nuclear and weapons programs, in support of the recent “snapback” sanctions by the UN on Tehran, Anadolu reports.</w:t>
      </w:r>
      <w:r>
        <w:rPr>
          <w:rFonts w:hint="default"/>
          <w:lang w:val="en-GB"/>
        </w:rPr>
        <w:t xml:space="preserve"> </w:t>
      </w:r>
      <w:r>
        <w:rPr>
          <w:rFonts w:hint="default"/>
        </w:rPr>
        <w:t>Secretary of State Marco Rubio said in a statement that 44 individuals and entities have been designated, including five people and one entity allegedly linked to Iran’s Organization of Defensive Innovation and Research (SPND), which he described as the successor to Iran’s pre-2004 nuclear weapons program.</w:t>
      </w:r>
      <w:r>
        <w:rPr>
          <w:rFonts w:hint="default"/>
          <w:lang w:val="en-GB"/>
        </w:rPr>
        <w:t xml:space="preserve"> </w:t>
      </w:r>
      <w:r>
        <w:rPr>
          <w:rFonts w:hint="default"/>
        </w:rPr>
        <w:t>The US also imposed additional export restrictions on 26 entities and three procurement-linked addresses.</w:t>
      </w:r>
      <w:r>
        <w:rPr>
          <w:rFonts w:hint="default"/>
          <w:lang w:val="en-GB"/>
        </w:rPr>
        <w:t xml:space="preserve"> </w:t>
      </w:r>
      <w:r>
        <w:rPr>
          <w:rFonts w:hint="default"/>
        </w:rPr>
        <w:t>“These actions highlight the importance of the September 27 re-imposition of sanctions and other restrictions on Iran pursuant to multiple UN Security Council resolutions,” Rubio said. “We will not hesitate to hold accountable anyone who supports Tehran’s proliferation activities.”</w:t>
      </w:r>
      <w:r>
        <w:rPr>
          <w:rFonts w:hint="default"/>
          <w:lang w:val="en-GB"/>
        </w:rPr>
        <w:t xml:space="preserve"> </w:t>
      </w:r>
      <w:r>
        <w:rPr>
          <w:rFonts w:hint="default"/>
        </w:rPr>
        <w:t>The measures come after France, Germany and the UK invoked a “snapback” mechanism under UN Security Council Resolution 2231, restoring sanctions that had been suspended since the 2015 nuclear deal.</w:t>
      </w:r>
    </w:p>
    <w:p w14:paraId="3C0D3EBE">
      <w:pPr>
        <w:spacing w:line="276" w:lineRule="auto"/>
      </w:pPr>
    </w:p>
    <w:p w14:paraId="632CC887">
      <w:pPr>
        <w:spacing w:line="276" w:lineRule="auto"/>
      </w:pPr>
    </w:p>
    <w:sectPr>
      <w:headerReference r:id="rId6" w:type="first"/>
      <w:footerReference r:id="rId9" w:type="first"/>
      <w:footerReference r:id="rId7" w:type="default"/>
      <w:headerReference r:id="rId5" w:type="even"/>
      <w:footerReference r:id="rId8" w:type="even"/>
      <w:pgSz w:w="12240" w:h="15840"/>
      <w:pgMar w:top="1440" w:right="1800" w:bottom="1440" w:left="1800" w:header="720" w:footer="720" w:gutter="0"/>
      <w:cols w:space="720"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altName w:val="Microsoft YaHei"/>
    <w:panose1 w:val="00000000000000000000"/>
    <w:charset w:val="86"/>
    <w:family w:val="auto"/>
    <w:pitch w:val="default"/>
    <w:sig w:usb0="00000000" w:usb1="00000000" w:usb2="00000000" w:usb3="00000000" w:csb0="00000000" w:csb1="00000000"/>
  </w:font>
  <w:font w:name="Cambria">
    <w:panose1 w:val="02040503050406030204"/>
    <w:charset w:val="00"/>
    <w:family w:val="roman"/>
    <w:pitch w:val="default"/>
    <w:sig w:usb0="E00006FF" w:usb1="420024FF" w:usb2="02000000" w:usb3="00000000" w:csb0="2000019F" w:csb1="00000000"/>
  </w:font>
  <w:font w:name="Tahoma">
    <w:panose1 w:val="020B0604030504040204"/>
    <w:charset w:val="00"/>
    <w:family w:val="swiss"/>
    <w:pitch w:val="default"/>
    <w:sig w:usb0="E1002EFF" w:usb1="C000605B" w:usb2="00000029" w:usb3="00000000" w:csb0="200101FF" w:csb1="20280000"/>
  </w:font>
  <w:font w:name="DengXian Light">
    <w:altName w:val="SimSun"/>
    <w:panose1 w:val="00000000000000000000"/>
    <w:charset w:val="86"/>
    <w:family w:val="auto"/>
    <w:pitch w:val="default"/>
    <w:sig w:usb0="00000000" w:usb1="00000000" w:usb2="00000016" w:usb3="00000000" w:csb0="0004000F" w:csb1="00000000"/>
  </w:font>
  <w:font w:name="Microsoft YaHei">
    <w:panose1 w:val="020B0503020204020204"/>
    <w:charset w:val="86"/>
    <w:family w:val="auto"/>
    <w:pitch w:val="default"/>
    <w:sig w:usb0="80000287" w:usb1="2ACF3C50" w:usb2="00000016" w:usb3="00000000" w:csb0="0004001F" w:csb1="00000000"/>
  </w:font>
  <w:font w:name="Wingdings">
    <w:panose1 w:val="05000000000000000000"/>
    <w:charset w:val="00"/>
    <w:family w:val="auto"/>
    <w:pitch w:val="default"/>
    <w:sig w:usb0="00000000" w:usb1="0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AC8957">
    <w:pPr>
      <w:pStyle w:val="8"/>
      <w:rPr>
        <w:rFonts w:hint="default"/>
        <w:lang w:val="en-GB"/>
      </w:rPr>
    </w:pPr>
    <w:r>
      <mc:AlternateContent>
        <mc:Choice Requires="wps">
          <w:drawing>
            <wp:anchor distT="0" distB="0" distL="114300" distR="114300" simplePos="0" relativeHeight="251659264" behindDoc="0" locked="0" layoutInCell="1" allowOverlap="1">
              <wp:simplePos x="0" y="0"/>
              <wp:positionH relativeFrom="margin">
                <wp:posOffset>4695825</wp:posOffset>
              </wp:positionH>
              <wp:positionV relativeFrom="paragraph">
                <wp:posOffset>-4445</wp:posOffset>
              </wp:positionV>
              <wp:extent cx="790575" cy="243205"/>
              <wp:effectExtent l="0" t="0" r="9525" b="0"/>
              <wp:wrapNone/>
              <wp:docPr id="335874966" name="Text Box 1"/>
              <wp:cNvGraphicFramePr/>
              <a:graphic xmlns:a="http://schemas.openxmlformats.org/drawingml/2006/main">
                <a:graphicData uri="http://schemas.microsoft.com/office/word/2010/wordprocessingShape">
                  <wps:wsp>
                    <wps:cNvSpPr txBox="1"/>
                    <wps:spPr>
                      <a:xfrm>
                        <a:off x="0" y="0"/>
                        <a:ext cx="790575" cy="24320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28EFC76">
                          <w:pPr>
                            <w:pStyle w:val="8"/>
                          </w:pPr>
                          <w:r>
                            <w:t xml:space="preserve">Page </w:t>
                          </w:r>
                          <w:r>
                            <w:fldChar w:fldCharType="begin"/>
                          </w:r>
                          <w:r>
                            <w:instrText xml:space="preserve"> PAGE  \* MERGEFORMAT </w:instrText>
                          </w:r>
                          <w:r>
                            <w:fldChar w:fldCharType="separate"/>
                          </w:r>
                          <w:r>
                            <w:t>1</w:t>
                          </w:r>
                          <w:r>
                            <w:fldChar w:fldCharType="end"/>
                          </w:r>
                          <w:r>
                            <w:t xml:space="preserve"> of </w:t>
                          </w:r>
                          <w:r>
                            <w:fldChar w:fldCharType="begin"/>
                          </w:r>
                          <w:r>
                            <w:instrText xml:space="preserve"> NUMPAGES  \* MERGEFORMAT </w:instrText>
                          </w:r>
                          <w:r>
                            <w:fldChar w:fldCharType="separate"/>
                          </w:r>
                          <w:r>
                            <w:t>3</w:t>
                          </w:r>
                          <w:r>
                            <w:fldChar w:fldCharType="end"/>
                          </w:r>
                        </w:p>
                      </w:txbxContent>
                    </wps:txbx>
                    <wps:bodyPr rot="0" spcFirstLastPara="0" vertOverflow="overflow" horzOverflow="overflow" vert="horz" wrap="square" lIns="0" tIns="0" rIns="0" bIns="0" numCol="1" spcCol="0" rtlCol="0" fromWordArt="0" anchor="t" anchorCtr="0" forceAA="0" compatLnSpc="1">
                      <a:spAutoFit/>
                    </wps:bodyPr>
                  </wps:wsp>
                </a:graphicData>
              </a:graphic>
            </wp:anchor>
          </w:drawing>
        </mc:Choice>
        <mc:Fallback>
          <w:pict>
            <v:shape id="Text Box 1" o:spid="_x0000_s1026" o:spt="202" type="#_x0000_t202" style="position:absolute;left:0pt;margin-left:369.75pt;margin-top:-0.35pt;height:19.15pt;width:62.25pt;mso-position-horizontal-relative:margin;z-index:251659264;mso-width-relative:page;mso-height-relative:page;" filled="f" stroked="f" coordsize="21600,21600" o:gfxdata="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Fu2XK3XAAAACAEAAA8AAAAAAAAAAQAgAAAAIgAAAGRycy9kb3ducmV2LnhtbFBLAQIUABQA&#10;AAAIAIdO4kDNG/LgKgIAAFwEAAAOAAAAAAAAAAEAIAAAACYBAABkcnMvZTJvRG9jLnhtbFBLBQYA&#10;AAAABgAGAFkBAADCBQAAAAA=&#10;">
              <v:fill on="f" focussize="0,0"/>
              <v:stroke on="f" weight="0.5pt"/>
              <v:imagedata o:title=""/>
              <o:lock v:ext="edit" aspectratio="f"/>
              <v:textbox inset="0mm,0mm,0mm,0mm" style="mso-fit-shape-to-text:t;">
                <w:txbxContent>
                  <w:p w14:paraId="228EFC76">
                    <w:pPr>
                      <w:pStyle w:val="8"/>
                    </w:pPr>
                    <w:r>
                      <w:t xml:space="preserve">Page </w:t>
                    </w:r>
                    <w:r>
                      <w:fldChar w:fldCharType="begin"/>
                    </w:r>
                    <w:r>
                      <w:instrText xml:space="preserve"> PAGE  \* MERGEFORMAT </w:instrText>
                    </w:r>
                    <w:r>
                      <w:fldChar w:fldCharType="separate"/>
                    </w:r>
                    <w:r>
                      <w:t>1</w:t>
                    </w:r>
                    <w:r>
                      <w:fldChar w:fldCharType="end"/>
                    </w:r>
                    <w:r>
                      <w:t xml:space="preserve"> of </w:t>
                    </w:r>
                    <w:r>
                      <w:fldChar w:fldCharType="begin"/>
                    </w:r>
                    <w:r>
                      <w:instrText xml:space="preserve"> NUMPAGES  \* MERGEFORMAT </w:instrText>
                    </w:r>
                    <w:r>
                      <w:fldChar w:fldCharType="separate"/>
                    </w:r>
                    <w:r>
                      <w:t>3</w:t>
                    </w:r>
                    <w:r>
                      <w:fldChar w:fldCharType="end"/>
                    </w:r>
                  </w:p>
                </w:txbxContent>
              </v:textbox>
            </v:shape>
          </w:pict>
        </mc:Fallback>
      </mc:AlternateContent>
    </w:r>
    <w:r>
      <w:t>News Highlights –</w:t>
    </w:r>
    <w:r>
      <w:rPr>
        <w:lang w:val="en-GB"/>
      </w:rPr>
      <w:t xml:space="preserve"> </w:t>
    </w:r>
    <w:r>
      <w:rPr>
        <w:rFonts w:hint="default"/>
        <w:lang w:val="en-GB"/>
      </w:rPr>
      <w:t>October 2</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C11732D">
    <w:pPr>
      <w:pStyle w:val="8"/>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C93E7AC">
    <w:pPr>
      <w:pStyle w:val="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59" w:lineRule="auto"/>
      </w:pPr>
      <w:r>
        <w:separator/>
      </w:r>
    </w:p>
  </w:footnote>
  <w:footnote w:type="continuationSeparator" w:id="1">
    <w:p>
      <w:pPr>
        <w:spacing w:before="0" w:after="0" w:line="259"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8993F86">
    <w:pPr>
      <w:pStyle w:val="9"/>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85E6111">
    <w:pPr>
      <w:pStyle w:val="9"/>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7A7F4B1E"/>
    <w:multiLevelType w:val="singleLevel"/>
    <w:tmpl w:val="7A7F4B1E"/>
    <w:lvl w:ilvl="0" w:tentative="0">
      <w:start w:val="1"/>
      <w:numFmt w:val="bullet"/>
      <w:lvlText w:val=""/>
      <w:lvlJc w:val="left"/>
      <w:pPr>
        <w:tabs>
          <w:tab w:val="left" w:pos="420"/>
        </w:tabs>
        <w:ind w:left="420" w:leftChars="0" w:hanging="420" w:firstLineChars="0"/>
      </w:pPr>
      <w:rPr>
        <w:rFonts w:hint="default" w:ascii="Wingdings" w:hAnsi="Wingdings"/>
        <w:sz w:val="16"/>
        <w:szCs w:val="16"/>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hideSpellingErrors/>
  <w:hideGrammaticalErrors/>
  <w:documentProtection w:enforcement="0"/>
  <w:defaultTabStop w:val="720"/>
  <w:characterSpacingControl w:val="doNotCompress"/>
  <w:footnotePr>
    <w:footnote w:id="0"/>
    <w:footnote w:id="1"/>
  </w:footnotePr>
  <w:endnotePr>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F6B00"/>
    <w:rsid w:val="000015F5"/>
    <w:rsid w:val="00003FD9"/>
    <w:rsid w:val="000174CF"/>
    <w:rsid w:val="00021613"/>
    <w:rsid w:val="00032867"/>
    <w:rsid w:val="00092022"/>
    <w:rsid w:val="000B27C3"/>
    <w:rsid w:val="000B5DE9"/>
    <w:rsid w:val="000F74A2"/>
    <w:rsid w:val="00150DBC"/>
    <w:rsid w:val="00171D3F"/>
    <w:rsid w:val="0017786B"/>
    <w:rsid w:val="001E0C8A"/>
    <w:rsid w:val="001E5757"/>
    <w:rsid w:val="001F70C3"/>
    <w:rsid w:val="00213FED"/>
    <w:rsid w:val="00242D03"/>
    <w:rsid w:val="00250C0C"/>
    <w:rsid w:val="002960E0"/>
    <w:rsid w:val="002A783D"/>
    <w:rsid w:val="002B138D"/>
    <w:rsid w:val="002D6D10"/>
    <w:rsid w:val="00303E88"/>
    <w:rsid w:val="003051C3"/>
    <w:rsid w:val="0030535E"/>
    <w:rsid w:val="00314B0E"/>
    <w:rsid w:val="00334888"/>
    <w:rsid w:val="003455D2"/>
    <w:rsid w:val="00346168"/>
    <w:rsid w:val="00346325"/>
    <w:rsid w:val="003703B2"/>
    <w:rsid w:val="003B0888"/>
    <w:rsid w:val="003B41DB"/>
    <w:rsid w:val="003B5014"/>
    <w:rsid w:val="003E5CB7"/>
    <w:rsid w:val="003F3A8D"/>
    <w:rsid w:val="003F4A8B"/>
    <w:rsid w:val="00403959"/>
    <w:rsid w:val="004214D3"/>
    <w:rsid w:val="00424C39"/>
    <w:rsid w:val="004342D0"/>
    <w:rsid w:val="004545ED"/>
    <w:rsid w:val="00483211"/>
    <w:rsid w:val="00495F3F"/>
    <w:rsid w:val="004A194A"/>
    <w:rsid w:val="004D40B1"/>
    <w:rsid w:val="005043C6"/>
    <w:rsid w:val="00510643"/>
    <w:rsid w:val="00544E17"/>
    <w:rsid w:val="005854F2"/>
    <w:rsid w:val="005A490F"/>
    <w:rsid w:val="005B6A1D"/>
    <w:rsid w:val="005C0C8F"/>
    <w:rsid w:val="005E3F9A"/>
    <w:rsid w:val="00647295"/>
    <w:rsid w:val="00650371"/>
    <w:rsid w:val="006609F1"/>
    <w:rsid w:val="00691D5D"/>
    <w:rsid w:val="006C1AE4"/>
    <w:rsid w:val="006D5675"/>
    <w:rsid w:val="007476D7"/>
    <w:rsid w:val="00766114"/>
    <w:rsid w:val="00782C09"/>
    <w:rsid w:val="0079337A"/>
    <w:rsid w:val="00796C33"/>
    <w:rsid w:val="007A775E"/>
    <w:rsid w:val="007D740A"/>
    <w:rsid w:val="007F6457"/>
    <w:rsid w:val="00814D06"/>
    <w:rsid w:val="008643A9"/>
    <w:rsid w:val="008C23F3"/>
    <w:rsid w:val="008C69BB"/>
    <w:rsid w:val="008D013C"/>
    <w:rsid w:val="008D280B"/>
    <w:rsid w:val="009711F0"/>
    <w:rsid w:val="009D5135"/>
    <w:rsid w:val="00A048AD"/>
    <w:rsid w:val="00A2001B"/>
    <w:rsid w:val="00A21F1E"/>
    <w:rsid w:val="00A24802"/>
    <w:rsid w:val="00A259EA"/>
    <w:rsid w:val="00A52265"/>
    <w:rsid w:val="00A75579"/>
    <w:rsid w:val="00AB79B0"/>
    <w:rsid w:val="00AE16A2"/>
    <w:rsid w:val="00AE4E17"/>
    <w:rsid w:val="00AF67F1"/>
    <w:rsid w:val="00AF6B00"/>
    <w:rsid w:val="00B0420C"/>
    <w:rsid w:val="00B16DE0"/>
    <w:rsid w:val="00BD32FE"/>
    <w:rsid w:val="00BD65CE"/>
    <w:rsid w:val="00BE0152"/>
    <w:rsid w:val="00BF029B"/>
    <w:rsid w:val="00BF6A2C"/>
    <w:rsid w:val="00C06272"/>
    <w:rsid w:val="00C75DA5"/>
    <w:rsid w:val="00CA3B84"/>
    <w:rsid w:val="00CE4A55"/>
    <w:rsid w:val="00CF771E"/>
    <w:rsid w:val="00D02C0E"/>
    <w:rsid w:val="00D13543"/>
    <w:rsid w:val="00D15F74"/>
    <w:rsid w:val="00D34FDE"/>
    <w:rsid w:val="00D44699"/>
    <w:rsid w:val="00DB23AD"/>
    <w:rsid w:val="00DC7588"/>
    <w:rsid w:val="00DD33ED"/>
    <w:rsid w:val="00DD3C17"/>
    <w:rsid w:val="00DD3C59"/>
    <w:rsid w:val="00DD6EB3"/>
    <w:rsid w:val="00DE43E2"/>
    <w:rsid w:val="00E0528A"/>
    <w:rsid w:val="00EA52E1"/>
    <w:rsid w:val="00F3115C"/>
    <w:rsid w:val="00F545DA"/>
    <w:rsid w:val="00F635A6"/>
    <w:rsid w:val="00F71035"/>
    <w:rsid w:val="00FD7496"/>
    <w:rsid w:val="02465C6E"/>
    <w:rsid w:val="03155609"/>
    <w:rsid w:val="03BD0180"/>
    <w:rsid w:val="04E47A4A"/>
    <w:rsid w:val="0507170E"/>
    <w:rsid w:val="06870B46"/>
    <w:rsid w:val="08057217"/>
    <w:rsid w:val="082A6FA6"/>
    <w:rsid w:val="08A66900"/>
    <w:rsid w:val="0BCD220D"/>
    <w:rsid w:val="0E66097C"/>
    <w:rsid w:val="0EBC084F"/>
    <w:rsid w:val="0EF05944"/>
    <w:rsid w:val="11C56BB4"/>
    <w:rsid w:val="123267B2"/>
    <w:rsid w:val="13800188"/>
    <w:rsid w:val="1461586F"/>
    <w:rsid w:val="17123F41"/>
    <w:rsid w:val="17930AD8"/>
    <w:rsid w:val="18EF75D8"/>
    <w:rsid w:val="19277122"/>
    <w:rsid w:val="19CE6A7A"/>
    <w:rsid w:val="1A530291"/>
    <w:rsid w:val="1A597455"/>
    <w:rsid w:val="1A6E257E"/>
    <w:rsid w:val="1B5C1805"/>
    <w:rsid w:val="1BD000FF"/>
    <w:rsid w:val="1CD77CF3"/>
    <w:rsid w:val="1CF8084C"/>
    <w:rsid w:val="1D6C2B8D"/>
    <w:rsid w:val="1DA54E9A"/>
    <w:rsid w:val="1DA67E3A"/>
    <w:rsid w:val="1DF375B7"/>
    <w:rsid w:val="1EFE7AF5"/>
    <w:rsid w:val="224465AF"/>
    <w:rsid w:val="22781BD3"/>
    <w:rsid w:val="22E00B00"/>
    <w:rsid w:val="23493A04"/>
    <w:rsid w:val="24001757"/>
    <w:rsid w:val="246C2349"/>
    <w:rsid w:val="2695760A"/>
    <w:rsid w:val="27FC35AE"/>
    <w:rsid w:val="28DD085E"/>
    <w:rsid w:val="31B56A09"/>
    <w:rsid w:val="324F4CE8"/>
    <w:rsid w:val="32F1202D"/>
    <w:rsid w:val="36ED01B1"/>
    <w:rsid w:val="3D037EF0"/>
    <w:rsid w:val="3FC86C6F"/>
    <w:rsid w:val="3FFF1FDA"/>
    <w:rsid w:val="42D66C73"/>
    <w:rsid w:val="447D76AA"/>
    <w:rsid w:val="44C248CA"/>
    <w:rsid w:val="44D05498"/>
    <w:rsid w:val="457F52EB"/>
    <w:rsid w:val="45ED6AF1"/>
    <w:rsid w:val="46A81F7A"/>
    <w:rsid w:val="4A402EB8"/>
    <w:rsid w:val="4C124E49"/>
    <w:rsid w:val="4F8F445F"/>
    <w:rsid w:val="4FAF3A87"/>
    <w:rsid w:val="5054149A"/>
    <w:rsid w:val="50A71E90"/>
    <w:rsid w:val="518F1FA5"/>
    <w:rsid w:val="52337025"/>
    <w:rsid w:val="547D43D2"/>
    <w:rsid w:val="566810BD"/>
    <w:rsid w:val="569D47F1"/>
    <w:rsid w:val="57E8270B"/>
    <w:rsid w:val="59372DB8"/>
    <w:rsid w:val="5A63316B"/>
    <w:rsid w:val="5CAE4405"/>
    <w:rsid w:val="5DD616B8"/>
    <w:rsid w:val="5E45271F"/>
    <w:rsid w:val="60B552DC"/>
    <w:rsid w:val="63A54F9A"/>
    <w:rsid w:val="64233011"/>
    <w:rsid w:val="65CE1A18"/>
    <w:rsid w:val="674D0172"/>
    <w:rsid w:val="67B13CF4"/>
    <w:rsid w:val="69EA7AAD"/>
    <w:rsid w:val="6C490915"/>
    <w:rsid w:val="6D7A4A5A"/>
    <w:rsid w:val="6EC25725"/>
    <w:rsid w:val="739A616A"/>
    <w:rsid w:val="73E30541"/>
    <w:rsid w:val="74A277E7"/>
    <w:rsid w:val="759A19E2"/>
    <w:rsid w:val="75C7198D"/>
    <w:rsid w:val="76A15964"/>
    <w:rsid w:val="78D95A78"/>
    <w:rsid w:val="799B5BA7"/>
    <w:rsid w:val="7BC00C86"/>
    <w:rsid w:val="7BCF720A"/>
    <w:rsid w:val="7D68716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0"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160" w:line="259" w:lineRule="auto"/>
      <w:jc w:val="both"/>
    </w:pPr>
    <w:rPr>
      <w:rFonts w:ascii="Times New Roman" w:hAnsi="Times New Roman" w:eastAsiaTheme="minorEastAsia" w:cstheme="minorBidi"/>
      <w:sz w:val="24"/>
      <w:szCs w:val="22"/>
      <w:lang w:val="en-US" w:eastAsia="en-US" w:bidi="ar-SA"/>
    </w:rPr>
  </w:style>
  <w:style w:type="paragraph" w:styleId="2">
    <w:name w:val="heading 1"/>
    <w:basedOn w:val="1"/>
    <w:next w:val="1"/>
    <w:link w:val="19"/>
    <w:qFormat/>
    <w:uiPriority w:val="9"/>
    <w:pPr>
      <w:keepNext/>
      <w:keepLines/>
      <w:spacing w:before="480" w:after="0"/>
      <w:outlineLvl w:val="0"/>
    </w:pPr>
    <w:rPr>
      <w:rFonts w:asciiTheme="majorHAnsi" w:hAnsiTheme="majorHAnsi" w:eastAsiaTheme="majorEastAsia" w:cstheme="majorBidi"/>
      <w:b/>
      <w:bCs/>
      <w:color w:val="376092" w:themeColor="accent1" w:themeShade="BF"/>
      <w:sz w:val="28"/>
      <w:szCs w:val="28"/>
    </w:rPr>
  </w:style>
  <w:style w:type="paragraph" w:styleId="3">
    <w:name w:val="heading 2"/>
    <w:basedOn w:val="1"/>
    <w:next w:val="1"/>
    <w:link w:val="15"/>
    <w:unhideWhenUsed/>
    <w:qFormat/>
    <w:uiPriority w:val="0"/>
    <w:pPr>
      <w:keepNext/>
      <w:keepLines/>
      <w:spacing w:before="260" w:after="260" w:line="416" w:lineRule="auto"/>
      <w:outlineLvl w:val="1"/>
    </w:pPr>
    <w:rPr>
      <w:b/>
      <w:bCs/>
      <w:szCs w:val="32"/>
    </w:rPr>
  </w:style>
  <w:style w:type="paragraph" w:styleId="4">
    <w:name w:val="heading 3"/>
    <w:basedOn w:val="1"/>
    <w:next w:val="1"/>
    <w:link w:val="21"/>
    <w:semiHidden/>
    <w:unhideWhenUsed/>
    <w:qFormat/>
    <w:uiPriority w:val="9"/>
    <w:pPr>
      <w:keepNext/>
      <w:keepLines/>
      <w:spacing w:before="260" w:after="260" w:line="416" w:lineRule="auto"/>
      <w:outlineLvl w:val="2"/>
    </w:pPr>
    <w:rPr>
      <w:b/>
      <w:bCs/>
      <w:sz w:val="32"/>
      <w:szCs w:val="32"/>
    </w:rPr>
  </w:style>
  <w:style w:type="character" w:default="1" w:styleId="5">
    <w:name w:val="Default Paragraph Font"/>
    <w:semiHidden/>
    <w:unhideWhenUsed/>
    <w:qFormat/>
    <w:uiPriority w:val="1"/>
  </w:style>
  <w:style w:type="table" w:default="1" w:styleId="6">
    <w:name w:val="Normal Table"/>
    <w:semiHidden/>
    <w:unhideWhenUsed/>
    <w:qFormat/>
    <w:uiPriority w:val="99"/>
    <w:tblPr>
      <w:tblCellMar>
        <w:top w:w="0" w:type="dxa"/>
        <w:left w:w="108" w:type="dxa"/>
        <w:bottom w:w="0" w:type="dxa"/>
        <w:right w:w="108" w:type="dxa"/>
      </w:tblCellMar>
    </w:tblPr>
  </w:style>
  <w:style w:type="paragraph" w:styleId="7">
    <w:name w:val="Balloon Text"/>
    <w:basedOn w:val="1"/>
    <w:link w:val="18"/>
    <w:semiHidden/>
    <w:unhideWhenUsed/>
    <w:qFormat/>
    <w:uiPriority w:val="99"/>
    <w:pPr>
      <w:spacing w:after="0" w:line="240" w:lineRule="auto"/>
    </w:pPr>
    <w:rPr>
      <w:rFonts w:ascii="Tahoma" w:hAnsi="Tahoma" w:cs="Tahoma"/>
      <w:sz w:val="16"/>
      <w:szCs w:val="16"/>
    </w:rPr>
  </w:style>
  <w:style w:type="paragraph" w:styleId="8">
    <w:name w:val="footer"/>
    <w:basedOn w:val="1"/>
    <w:unhideWhenUsed/>
    <w:qFormat/>
    <w:uiPriority w:val="99"/>
    <w:pPr>
      <w:tabs>
        <w:tab w:val="center" w:pos="4153"/>
        <w:tab w:val="right" w:pos="8306"/>
      </w:tabs>
      <w:snapToGrid w:val="0"/>
      <w:jc w:val="left"/>
    </w:pPr>
    <w:rPr>
      <w:sz w:val="18"/>
      <w:szCs w:val="18"/>
    </w:rPr>
  </w:style>
  <w:style w:type="paragraph" w:styleId="9">
    <w:name w:val="header"/>
    <w:basedOn w:val="1"/>
    <w:unhideWhenUsed/>
    <w:qFormat/>
    <w:uiPriority w:val="99"/>
    <w:pPr>
      <w:tabs>
        <w:tab w:val="center" w:pos="4153"/>
        <w:tab w:val="right" w:pos="8306"/>
      </w:tabs>
      <w:snapToGrid w:val="0"/>
    </w:pPr>
    <w:rPr>
      <w:sz w:val="18"/>
      <w:szCs w:val="18"/>
    </w:rPr>
  </w:style>
  <w:style w:type="character" w:styleId="10">
    <w:name w:val="Hyperlink"/>
    <w:basedOn w:val="5"/>
    <w:unhideWhenUsed/>
    <w:qFormat/>
    <w:uiPriority w:val="99"/>
    <w:rPr>
      <w:color w:val="0000FF" w:themeColor="hyperlink"/>
      <w:u w:val="single"/>
      <w14:textFill>
        <w14:solidFill>
          <w14:schemeClr w14:val="hlink"/>
        </w14:solidFill>
      </w14:textFill>
    </w:rPr>
  </w:style>
  <w:style w:type="paragraph" w:styleId="11">
    <w:name w:val="Normal (Web)"/>
    <w:semiHidden/>
    <w:unhideWhenUsed/>
    <w:qFormat/>
    <w:uiPriority w:val="99"/>
    <w:pPr>
      <w:spacing w:beforeAutospacing="1" w:afterAutospacing="1"/>
    </w:pPr>
    <w:rPr>
      <w:rFonts w:ascii="Times New Roman" w:hAnsi="Times New Roman" w:eastAsia="SimSun" w:cs="Times New Roman"/>
      <w:sz w:val="24"/>
      <w:szCs w:val="24"/>
      <w:lang w:val="en-US" w:eastAsia="zh-CN" w:bidi="ar-SA"/>
    </w:rPr>
  </w:style>
  <w:style w:type="paragraph" w:styleId="12">
    <w:name w:val="Title"/>
    <w:basedOn w:val="1"/>
    <w:next w:val="1"/>
    <w:link w:val="16"/>
    <w:qFormat/>
    <w:uiPriority w:val="10"/>
    <w:pPr>
      <w:pBdr>
        <w:bottom w:val="single" w:color="4F81BD" w:themeColor="accent1" w:sz="8" w:space="4"/>
      </w:pBdr>
      <w:spacing w:after="300" w:line="240" w:lineRule="auto"/>
      <w:contextualSpacing/>
    </w:pPr>
    <w:rPr>
      <w:rFonts w:asciiTheme="majorHAnsi" w:hAnsiTheme="majorHAnsi" w:eastAsiaTheme="majorEastAsia" w:cstheme="majorBidi"/>
      <w:color w:val="17375E" w:themeColor="text2" w:themeShade="BF"/>
      <w:spacing w:val="5"/>
      <w:kern w:val="28"/>
      <w:sz w:val="52"/>
      <w:szCs w:val="52"/>
    </w:rPr>
  </w:style>
  <w:style w:type="paragraph" w:styleId="13">
    <w:name w:val="toc 1"/>
    <w:basedOn w:val="1"/>
    <w:next w:val="1"/>
    <w:qFormat/>
    <w:uiPriority w:val="39"/>
  </w:style>
  <w:style w:type="paragraph" w:styleId="14">
    <w:name w:val="toc 2"/>
    <w:basedOn w:val="1"/>
    <w:next w:val="1"/>
    <w:qFormat/>
    <w:uiPriority w:val="39"/>
    <w:pPr>
      <w:ind w:left="420" w:leftChars="200"/>
    </w:pPr>
  </w:style>
  <w:style w:type="character" w:customStyle="1" w:styleId="15">
    <w:name w:val="Heading 2 Char"/>
    <w:basedOn w:val="5"/>
    <w:link w:val="3"/>
    <w:qFormat/>
    <w:uiPriority w:val="0"/>
    <w:rPr>
      <w:rFonts w:ascii="Times New Roman" w:hAnsi="Times New Roman" w:eastAsiaTheme="minorEastAsia"/>
      <w:b/>
      <w:bCs/>
      <w:sz w:val="24"/>
      <w:szCs w:val="32"/>
    </w:rPr>
  </w:style>
  <w:style w:type="character" w:customStyle="1" w:styleId="16">
    <w:name w:val="Title Char"/>
    <w:basedOn w:val="5"/>
    <w:link w:val="12"/>
    <w:qFormat/>
    <w:uiPriority w:val="10"/>
    <w:rPr>
      <w:rFonts w:asciiTheme="majorHAnsi" w:hAnsiTheme="majorHAnsi" w:eastAsiaTheme="majorEastAsia" w:cstheme="majorBidi"/>
      <w:color w:val="17375E" w:themeColor="text2" w:themeShade="BF"/>
      <w:spacing w:val="5"/>
      <w:kern w:val="28"/>
      <w:sz w:val="52"/>
      <w:szCs w:val="52"/>
    </w:rPr>
  </w:style>
  <w:style w:type="table" w:customStyle="1" w:styleId="17">
    <w:name w:val="Table Grid1"/>
    <w:basedOn w:val="6"/>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customStyle="1" w:styleId="18">
    <w:name w:val="Balloon Text Char"/>
    <w:basedOn w:val="5"/>
    <w:link w:val="7"/>
    <w:semiHidden/>
    <w:qFormat/>
    <w:uiPriority w:val="99"/>
    <w:rPr>
      <w:rFonts w:ascii="Tahoma" w:hAnsi="Tahoma" w:cs="Tahoma" w:eastAsiaTheme="minorEastAsia"/>
      <w:sz w:val="16"/>
      <w:szCs w:val="16"/>
    </w:rPr>
  </w:style>
  <w:style w:type="character" w:customStyle="1" w:styleId="19">
    <w:name w:val="Heading 1 Char"/>
    <w:basedOn w:val="5"/>
    <w:link w:val="2"/>
    <w:qFormat/>
    <w:uiPriority w:val="9"/>
    <w:rPr>
      <w:rFonts w:asciiTheme="majorHAnsi" w:hAnsiTheme="majorHAnsi" w:eastAsiaTheme="majorEastAsia" w:cstheme="majorBidi"/>
      <w:b/>
      <w:bCs/>
      <w:color w:val="376092" w:themeColor="accent1" w:themeShade="BF"/>
      <w:sz w:val="28"/>
      <w:szCs w:val="28"/>
    </w:rPr>
  </w:style>
  <w:style w:type="paragraph" w:styleId="20">
    <w:name w:val="List Paragraph"/>
    <w:basedOn w:val="1"/>
    <w:qFormat/>
    <w:uiPriority w:val="34"/>
    <w:pPr>
      <w:ind w:left="720"/>
      <w:contextualSpacing/>
    </w:pPr>
  </w:style>
  <w:style w:type="character" w:customStyle="1" w:styleId="21">
    <w:name w:val="Heading 3 Char"/>
    <w:link w:val="4"/>
    <w:qFormat/>
    <w:uiPriority w:val="0"/>
    <w:rPr>
      <w:b/>
      <w:bCs/>
      <w:sz w:val="32"/>
      <w:szCs w:val="32"/>
    </w:rPr>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footer" Target="footer2.xml"/><Relationship Id="rId7" Type="http://schemas.openxmlformats.org/officeDocument/2006/relationships/footer" Target="footer1.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numbering" Target="numbering.xml"/><Relationship Id="rId11" Type="http://schemas.openxmlformats.org/officeDocument/2006/relationships/customXml" Target="../customXml/item1.xml"/><Relationship Id="rId10" Type="http://schemas.openxmlformats.org/officeDocument/2006/relationships/theme" Target="theme/theme1.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17</Pages>
  <Words>340</Words>
  <Characters>1939</Characters>
  <Lines>16</Lines>
  <Paragraphs>4</Paragraphs>
  <TotalTime>8</TotalTime>
  <ScaleCrop>false</ScaleCrop>
  <LinksUpToDate>false</LinksUpToDate>
  <CharactersWithSpaces>2275</CharactersWithSpaces>
  <Application>WPS Office_12.2.0.22549_F1E327BC-269C-435d-A152-05C5408002CA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2025-01-01T05:40:00Z</dcterms:created>
  <dc:creator>Timy</dc:creator>
  <cp:lastModifiedBy>Sitrallah.M</cp:lastModifiedBy>
  <dcterms:modified xsi:type="dcterms:W3CDTF">2025-10-02T11:34:09Z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2057-12.2.0.22549</vt:lpwstr>
  </property>
  <property fmtid="{D5CDD505-2E9C-101B-9397-08002B2CF9AE}" pid="3" name="ICV">
    <vt:lpwstr>66F5D4BAD4B449EDB621839C68C3805D_13</vt:lpwstr>
  </property>
</Properties>
</file>