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w:t>
      </w:r>
      <w:r>
        <w:rPr>
          <w:rFonts w:hint="default" w:ascii="Times New Roman" w:hAnsi="Times New Roman" w:cs="Times New Roman"/>
          <w:sz w:val="40"/>
          <w:szCs w:val="40"/>
          <w:lang w:val="en-GB"/>
        </w:rPr>
        <w:t xml:space="preserve"> </w:t>
      </w:r>
      <w:r>
        <w:rPr>
          <w:rFonts w:ascii="Times New Roman" w:hAnsi="Times New Roman" w:cs="Times New Roman"/>
          <w:sz w:val="40"/>
          <w:szCs w:val="40"/>
        </w:rPr>
        <w:t xml:space="preserve">–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August 15,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5B01E03">
          <w:pPr>
            <w:pStyle w:val="13"/>
            <w:tabs>
              <w:tab w:val="right" w:leader="dot" w:pos="8640"/>
            </w:tabs>
          </w:pPr>
          <w:bookmarkStart w:id="34" w:name="_GoBack"/>
          <w:bookmarkEnd w:id="34"/>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_Toc6734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_Toc6734 \h </w:instrText>
          </w:r>
          <w:r>
            <w:fldChar w:fldCharType="separate"/>
          </w:r>
          <w:r>
            <w:t>3</w:t>
          </w:r>
          <w:r>
            <w:fldChar w:fldCharType="end"/>
          </w:r>
          <w:r>
            <w:rPr>
              <w:rFonts w:eastAsia="Calibri" w:cs="Times New Roman"/>
              <w:szCs w:val="24"/>
            </w:rPr>
            <w:fldChar w:fldCharType="end"/>
          </w:r>
        </w:p>
        <w:p w14:paraId="2D2816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_Toc31443 </w:instrText>
          </w:r>
          <w:r>
            <w:rPr>
              <w:rFonts w:eastAsia="Calibri" w:cs="Times New Roman"/>
              <w:szCs w:val="24"/>
            </w:rPr>
            <w:fldChar w:fldCharType="separate"/>
          </w:r>
          <w:r>
            <w:rPr>
              <w:rFonts w:hint="default" w:ascii="Wingdings" w:hAnsi="Wingdings"/>
              <w:szCs w:val="16"/>
              <w:lang w:val="en-GB"/>
            </w:rPr>
            <w:t xml:space="preserve"> </w:t>
          </w:r>
          <w:r>
            <w:rPr>
              <w:rFonts w:hint="default"/>
            </w:rPr>
            <w:t>GERD is Ethiopia’s crown jewel of sovereignty and national achievement, says competitive party NaMA</w:t>
          </w:r>
          <w:r>
            <w:tab/>
          </w:r>
          <w:r>
            <w:fldChar w:fldCharType="begin"/>
          </w:r>
          <w:r>
            <w:instrText xml:space="preserve"> PAGEREF _Toc31443 \h </w:instrText>
          </w:r>
          <w:r>
            <w:fldChar w:fldCharType="separate"/>
          </w:r>
          <w:r>
            <w:t>3</w:t>
          </w:r>
          <w:r>
            <w:fldChar w:fldCharType="end"/>
          </w:r>
          <w:r>
            <w:rPr>
              <w:rFonts w:eastAsia="Calibri" w:cs="Times New Roman"/>
              <w:szCs w:val="24"/>
            </w:rPr>
            <w:fldChar w:fldCharType="end"/>
          </w:r>
        </w:p>
        <w:p w14:paraId="5155D22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_Toc1271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_Toc1271 \h </w:instrText>
          </w:r>
          <w:r>
            <w:fldChar w:fldCharType="separate"/>
          </w:r>
          <w:r>
            <w:t>4</w:t>
          </w:r>
          <w:r>
            <w:fldChar w:fldCharType="end"/>
          </w:r>
          <w:r>
            <w:rPr>
              <w:rFonts w:eastAsia="Calibri" w:cs="Times New Roman"/>
              <w:szCs w:val="24"/>
            </w:rPr>
            <w:fldChar w:fldCharType="end"/>
          </w:r>
        </w:p>
        <w:p w14:paraId="3C81DA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_Toc32546 </w:instrText>
          </w:r>
          <w:r>
            <w:rPr>
              <w:rFonts w:eastAsia="Calibri" w:cs="Times New Roman"/>
              <w:szCs w:val="24"/>
            </w:rPr>
            <w:fldChar w:fldCharType="separate"/>
          </w:r>
          <w:r>
            <w:rPr>
              <w:rFonts w:hint="default" w:ascii="Wingdings" w:hAnsi="Wingdings"/>
              <w:szCs w:val="16"/>
              <w:lang w:val="en-GB"/>
            </w:rPr>
            <w:t xml:space="preserve"> </w:t>
          </w:r>
          <w:r>
            <w:rPr>
              <w:rFonts w:hint="default"/>
            </w:rPr>
            <w:t>NRC Confirms Rehabilitated Ex-Combatants Will Return to Work with Full Benefits</w:t>
          </w:r>
          <w:r>
            <w:rPr>
              <w:rFonts w:hint="default"/>
              <w:lang w:val="en-GB"/>
            </w:rPr>
            <w:t xml:space="preserve"> </w:t>
          </w:r>
          <w:r>
            <w:tab/>
          </w:r>
          <w:r>
            <w:fldChar w:fldCharType="begin"/>
          </w:r>
          <w:r>
            <w:instrText xml:space="preserve"> PAGEREF _Toc32546 \h </w:instrText>
          </w:r>
          <w:r>
            <w:fldChar w:fldCharType="separate"/>
          </w:r>
          <w:r>
            <w:t>4</w:t>
          </w:r>
          <w:r>
            <w:fldChar w:fldCharType="end"/>
          </w:r>
          <w:r>
            <w:rPr>
              <w:rFonts w:eastAsia="Calibri" w:cs="Times New Roman"/>
              <w:szCs w:val="24"/>
            </w:rPr>
            <w:fldChar w:fldCharType="end"/>
          </w:r>
        </w:p>
        <w:p w14:paraId="0B5C5B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_Toc13262 </w:instrText>
          </w:r>
          <w:r>
            <w:rPr>
              <w:rFonts w:eastAsia="Calibri" w:cs="Times New Roman"/>
              <w:szCs w:val="24"/>
            </w:rPr>
            <w:fldChar w:fldCharType="separate"/>
          </w:r>
          <w:r>
            <w:rPr>
              <w:rFonts w:hint="default" w:ascii="Wingdings" w:hAnsi="Wingdings"/>
              <w:szCs w:val="16"/>
              <w:lang w:val="en-GB"/>
            </w:rPr>
            <w:t xml:space="preserve"> </w:t>
          </w:r>
          <w:r>
            <w:rPr>
              <w:rFonts w:hint="default"/>
            </w:rPr>
            <w:t>Dialogue Commission Extends Agenda Collection to Diaspora Communities</w:t>
          </w:r>
          <w:r>
            <w:tab/>
          </w:r>
          <w:r>
            <w:fldChar w:fldCharType="begin"/>
          </w:r>
          <w:r>
            <w:instrText xml:space="preserve"> PAGEREF _Toc13262 \h </w:instrText>
          </w:r>
          <w:r>
            <w:fldChar w:fldCharType="separate"/>
          </w:r>
          <w:r>
            <w:t>5</w:t>
          </w:r>
          <w:r>
            <w:fldChar w:fldCharType="end"/>
          </w:r>
          <w:r>
            <w:rPr>
              <w:rFonts w:eastAsia="Calibri" w:cs="Times New Roman"/>
              <w:szCs w:val="24"/>
            </w:rPr>
            <w:fldChar w:fldCharType="end"/>
          </w:r>
        </w:p>
        <w:p w14:paraId="2800D6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_Toc9589 </w:instrText>
          </w:r>
          <w:r>
            <w:rPr>
              <w:rFonts w:eastAsia="Calibri" w:cs="Times New Roman"/>
              <w:szCs w:val="24"/>
            </w:rPr>
            <w:fldChar w:fldCharType="separate"/>
          </w:r>
          <w:r>
            <w:rPr>
              <w:rFonts w:hint="default" w:ascii="Wingdings" w:hAnsi="Wingdings"/>
              <w:szCs w:val="16"/>
              <w:lang w:val="en-GB"/>
            </w:rPr>
            <w:t xml:space="preserve"> </w:t>
          </w:r>
          <w:r>
            <w:rPr>
              <w:rFonts w:hint="default"/>
            </w:rPr>
            <w:t>Opposition parties in Tigray dispute Dialogue Commission’s claim of progress in engagement</w:t>
          </w:r>
          <w:r>
            <w:tab/>
          </w:r>
          <w:r>
            <w:fldChar w:fldCharType="begin"/>
          </w:r>
          <w:r>
            <w:instrText xml:space="preserve"> PAGEREF _Toc9589 \h </w:instrText>
          </w:r>
          <w:r>
            <w:fldChar w:fldCharType="separate"/>
          </w:r>
          <w:r>
            <w:t>5</w:t>
          </w:r>
          <w:r>
            <w:fldChar w:fldCharType="end"/>
          </w:r>
          <w:r>
            <w:rPr>
              <w:rFonts w:eastAsia="Calibri" w:cs="Times New Roman"/>
              <w:szCs w:val="24"/>
            </w:rPr>
            <w:fldChar w:fldCharType="end"/>
          </w:r>
        </w:p>
        <w:p w14:paraId="102F6A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_Toc30193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launches UN-backed initiative to combat child wasting crisis affecting above 11% children under five</w:t>
          </w:r>
          <w:r>
            <w:tab/>
          </w:r>
          <w:r>
            <w:fldChar w:fldCharType="begin"/>
          </w:r>
          <w:r>
            <w:instrText xml:space="preserve"> PAGEREF _Toc30193 \h </w:instrText>
          </w:r>
          <w:r>
            <w:fldChar w:fldCharType="separate"/>
          </w:r>
          <w:r>
            <w:t>7</w:t>
          </w:r>
          <w:r>
            <w:fldChar w:fldCharType="end"/>
          </w:r>
          <w:r>
            <w:rPr>
              <w:rFonts w:eastAsia="Calibri" w:cs="Times New Roman"/>
              <w:szCs w:val="24"/>
            </w:rPr>
            <w:fldChar w:fldCharType="end"/>
          </w:r>
        </w:p>
        <w:p w14:paraId="5C5F5EC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_Toc22234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_Toc22234 \h </w:instrText>
          </w:r>
          <w:r>
            <w:fldChar w:fldCharType="separate"/>
          </w:r>
          <w:r>
            <w:t>8</w:t>
          </w:r>
          <w:r>
            <w:fldChar w:fldCharType="end"/>
          </w:r>
          <w:r>
            <w:rPr>
              <w:rFonts w:eastAsia="Calibri" w:cs="Times New Roman"/>
              <w:szCs w:val="24"/>
            </w:rPr>
            <w:fldChar w:fldCharType="end"/>
          </w:r>
        </w:p>
        <w:p w14:paraId="55F899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_Toc13559 </w:instrText>
          </w:r>
          <w:r>
            <w:rPr>
              <w:rFonts w:eastAsia="Calibri" w:cs="Times New Roman"/>
              <w:szCs w:val="24"/>
            </w:rPr>
            <w:fldChar w:fldCharType="separate"/>
          </w:r>
          <w:r>
            <w:t>Somali</w:t>
          </w:r>
          <w:r>
            <w:rPr>
              <w:rFonts w:hint="default"/>
              <w:lang w:val="en-GB"/>
            </w:rPr>
            <w:t>land</w:t>
          </w:r>
          <w:r>
            <w:tab/>
          </w:r>
          <w:r>
            <w:fldChar w:fldCharType="begin"/>
          </w:r>
          <w:r>
            <w:instrText xml:space="preserve"> PAGEREF _Toc13559 \h </w:instrText>
          </w:r>
          <w:r>
            <w:fldChar w:fldCharType="separate"/>
          </w:r>
          <w:r>
            <w:t>8</w:t>
          </w:r>
          <w:r>
            <w:fldChar w:fldCharType="end"/>
          </w:r>
          <w:r>
            <w:rPr>
              <w:rFonts w:eastAsia="Calibri" w:cs="Times New Roman"/>
              <w:szCs w:val="24"/>
            </w:rPr>
            <w:fldChar w:fldCharType="end"/>
          </w:r>
        </w:p>
        <w:p w14:paraId="1B9655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_Toc28741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Somaliland hails U.S. Senator Ted Cruz’s call for Trump to recognize independence</w:t>
          </w:r>
          <w:r>
            <w:tab/>
          </w:r>
          <w:r>
            <w:fldChar w:fldCharType="begin"/>
          </w:r>
          <w:r>
            <w:instrText xml:space="preserve"> PAGEREF _Toc28741 \h </w:instrText>
          </w:r>
          <w:r>
            <w:fldChar w:fldCharType="separate"/>
          </w:r>
          <w:r>
            <w:t>8</w:t>
          </w:r>
          <w:r>
            <w:fldChar w:fldCharType="end"/>
          </w:r>
          <w:r>
            <w:rPr>
              <w:rFonts w:eastAsia="Calibri" w:cs="Times New Roman"/>
              <w:szCs w:val="24"/>
            </w:rPr>
            <w:fldChar w:fldCharType="end"/>
          </w:r>
        </w:p>
        <w:p w14:paraId="762355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_Toc29910 </w:instrText>
          </w:r>
          <w:r>
            <w:rPr>
              <w:rFonts w:eastAsia="Calibri" w:cs="Times New Roman"/>
              <w:szCs w:val="24"/>
            </w:rPr>
            <w:fldChar w:fldCharType="separate"/>
          </w:r>
          <w:r>
            <w:rPr>
              <w:rFonts w:hint="default"/>
              <w:lang w:val="en-GB"/>
            </w:rPr>
            <w:t>Somalia</w:t>
          </w:r>
          <w:r>
            <w:tab/>
          </w:r>
          <w:r>
            <w:fldChar w:fldCharType="begin"/>
          </w:r>
          <w:r>
            <w:instrText xml:space="preserve"> PAGEREF _Toc29910 \h </w:instrText>
          </w:r>
          <w:r>
            <w:fldChar w:fldCharType="separate"/>
          </w:r>
          <w:r>
            <w:t>9</w:t>
          </w:r>
          <w:r>
            <w:fldChar w:fldCharType="end"/>
          </w:r>
          <w:r>
            <w:rPr>
              <w:rFonts w:eastAsia="Calibri" w:cs="Times New Roman"/>
              <w:szCs w:val="24"/>
            </w:rPr>
            <w:fldChar w:fldCharType="end"/>
          </w:r>
        </w:p>
        <w:p w14:paraId="6CA54F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_Toc23909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take control of disputed Mogadishu land after clashes</w:t>
          </w:r>
          <w:r>
            <w:rPr>
              <w:rFonts w:hint="default"/>
              <w:lang w:val="en-GB"/>
            </w:rPr>
            <w:t xml:space="preserve"> </w:t>
          </w:r>
          <w:r>
            <w:tab/>
          </w:r>
          <w:r>
            <w:fldChar w:fldCharType="begin"/>
          </w:r>
          <w:r>
            <w:instrText xml:space="preserve"> PAGEREF _Toc23909 \h </w:instrText>
          </w:r>
          <w:r>
            <w:fldChar w:fldCharType="separate"/>
          </w:r>
          <w:r>
            <w:t>9</w:t>
          </w:r>
          <w:r>
            <w:fldChar w:fldCharType="end"/>
          </w:r>
          <w:r>
            <w:rPr>
              <w:rFonts w:eastAsia="Calibri" w:cs="Times New Roman"/>
              <w:szCs w:val="24"/>
            </w:rPr>
            <w:fldChar w:fldCharType="end"/>
          </w:r>
        </w:p>
        <w:p w14:paraId="6F1416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_Toc13287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leaders, new AUSSOM chief pledge to intensify fight against al-Shabaab</w:t>
          </w:r>
          <w:r>
            <w:rPr>
              <w:rFonts w:hint="default"/>
              <w:lang w:val="en-GB"/>
            </w:rPr>
            <w:t xml:space="preserve"> </w:t>
          </w:r>
          <w:r>
            <w:tab/>
          </w:r>
          <w:r>
            <w:fldChar w:fldCharType="begin"/>
          </w:r>
          <w:r>
            <w:instrText xml:space="preserve"> PAGEREF _Toc13287 \h </w:instrText>
          </w:r>
          <w:r>
            <w:fldChar w:fldCharType="separate"/>
          </w:r>
          <w:r>
            <w:t>9</w:t>
          </w:r>
          <w:r>
            <w:fldChar w:fldCharType="end"/>
          </w:r>
          <w:r>
            <w:rPr>
              <w:rFonts w:eastAsia="Calibri" w:cs="Times New Roman"/>
              <w:szCs w:val="24"/>
            </w:rPr>
            <w:fldChar w:fldCharType="end"/>
          </w:r>
        </w:p>
        <w:p w14:paraId="7055E26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_Toc26369 </w:instrText>
          </w:r>
          <w:r>
            <w:rPr>
              <w:rFonts w:eastAsia="Calibri" w:cs="Times New Roman"/>
              <w:szCs w:val="24"/>
            </w:rPr>
            <w:fldChar w:fldCharType="separate"/>
          </w:r>
          <w:r>
            <w:rPr>
              <w:szCs w:val="24"/>
            </w:rPr>
            <w:t>Sudan</w:t>
          </w:r>
          <w:r>
            <w:tab/>
          </w:r>
          <w:r>
            <w:fldChar w:fldCharType="begin"/>
          </w:r>
          <w:r>
            <w:instrText xml:space="preserve"> PAGEREF _Toc26369 \h </w:instrText>
          </w:r>
          <w:r>
            <w:fldChar w:fldCharType="separate"/>
          </w:r>
          <w:r>
            <w:t>10</w:t>
          </w:r>
          <w:r>
            <w:fldChar w:fldCharType="end"/>
          </w:r>
          <w:r>
            <w:rPr>
              <w:rFonts w:eastAsia="Calibri" w:cs="Times New Roman"/>
              <w:szCs w:val="24"/>
            </w:rPr>
            <w:fldChar w:fldCharType="end"/>
          </w:r>
        </w:p>
        <w:p w14:paraId="2F085EA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_Toc13380 </w:instrText>
          </w:r>
          <w:r>
            <w:rPr>
              <w:rFonts w:eastAsia="Calibri" w:cs="Times New Roman"/>
              <w:szCs w:val="24"/>
            </w:rPr>
            <w:fldChar w:fldCharType="separate"/>
          </w:r>
          <w:r>
            <w:rPr>
              <w:rFonts w:hint="default" w:ascii="Wingdings" w:hAnsi="Wingdings"/>
              <w:szCs w:val="16"/>
              <w:lang w:val="en-GB"/>
            </w:rPr>
            <w:t xml:space="preserve"> </w:t>
          </w:r>
          <w:r>
            <w:rPr>
              <w:rFonts w:hint="default"/>
            </w:rPr>
            <w:t>U.N. says Sudan famine has spread ‘catastrophically’ one year on</w:t>
          </w:r>
          <w:r>
            <w:tab/>
          </w:r>
          <w:r>
            <w:fldChar w:fldCharType="begin"/>
          </w:r>
          <w:r>
            <w:instrText xml:space="preserve"> PAGEREF _Toc13380 \h </w:instrText>
          </w:r>
          <w:r>
            <w:fldChar w:fldCharType="separate"/>
          </w:r>
          <w:r>
            <w:t>10</w:t>
          </w:r>
          <w:r>
            <w:fldChar w:fldCharType="end"/>
          </w:r>
          <w:r>
            <w:rPr>
              <w:rFonts w:eastAsia="Calibri" w:cs="Times New Roman"/>
              <w:szCs w:val="24"/>
            </w:rPr>
            <w:fldChar w:fldCharType="end"/>
          </w:r>
        </w:p>
        <w:p w14:paraId="269A4B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_Toc14713 </w:instrText>
          </w:r>
          <w:r>
            <w:rPr>
              <w:rFonts w:eastAsia="Calibri" w:cs="Times New Roman"/>
              <w:szCs w:val="24"/>
            </w:rPr>
            <w:fldChar w:fldCharType="separate"/>
          </w:r>
          <w:r>
            <w:rPr>
              <w:rFonts w:hint="default" w:ascii="Wingdings" w:hAnsi="Wingdings"/>
              <w:szCs w:val="16"/>
              <w:lang w:val="en-GB"/>
            </w:rPr>
            <w:t xml:space="preserve"> </w:t>
          </w:r>
          <w:r>
            <w:rPr>
              <w:rFonts w:hint="default"/>
            </w:rPr>
            <w:t>UN rejects Sudanese paramilitary plans to form rival government</w:t>
          </w:r>
          <w:r>
            <w:rPr>
              <w:rFonts w:hint="default"/>
              <w:lang w:val="en-GB"/>
            </w:rPr>
            <w:t xml:space="preserve"> </w:t>
          </w:r>
          <w:r>
            <w:tab/>
          </w:r>
          <w:r>
            <w:fldChar w:fldCharType="begin"/>
          </w:r>
          <w:r>
            <w:instrText xml:space="preserve"> PAGEREF _Toc14713 \h </w:instrText>
          </w:r>
          <w:r>
            <w:fldChar w:fldCharType="separate"/>
          </w:r>
          <w:r>
            <w:t>10</w:t>
          </w:r>
          <w:r>
            <w:fldChar w:fldCharType="end"/>
          </w:r>
          <w:r>
            <w:rPr>
              <w:rFonts w:eastAsia="Calibri" w:cs="Times New Roman"/>
              <w:szCs w:val="24"/>
            </w:rPr>
            <w:fldChar w:fldCharType="end"/>
          </w:r>
        </w:p>
        <w:p w14:paraId="7040453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_Toc16590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chief rules out reconciliation with Rapid Support Forces</w:t>
          </w:r>
          <w:r>
            <w:tab/>
          </w:r>
          <w:r>
            <w:fldChar w:fldCharType="begin"/>
          </w:r>
          <w:r>
            <w:instrText xml:space="preserve"> PAGEREF _Toc16590 \h </w:instrText>
          </w:r>
          <w:r>
            <w:fldChar w:fldCharType="separate"/>
          </w:r>
          <w:r>
            <w:t>11</w:t>
          </w:r>
          <w:r>
            <w:fldChar w:fldCharType="end"/>
          </w:r>
          <w:r>
            <w:rPr>
              <w:rFonts w:eastAsia="Calibri" w:cs="Times New Roman"/>
              <w:szCs w:val="24"/>
            </w:rPr>
            <w:fldChar w:fldCharType="end"/>
          </w:r>
        </w:p>
        <w:p w14:paraId="0961C4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airstrike hits RSF-held building in Darfur, dozens injured, officials say</w:t>
          </w:r>
          <w:r>
            <w:tab/>
          </w:r>
          <w:r>
            <w:fldChar w:fldCharType="begin"/>
          </w:r>
          <w:r>
            <w:instrText xml:space="preserve"> PAGEREF _Toc3106 \h </w:instrText>
          </w:r>
          <w:r>
            <w:fldChar w:fldCharType="separate"/>
          </w:r>
          <w:r>
            <w:t>11</w:t>
          </w:r>
          <w:r>
            <w:fldChar w:fldCharType="end"/>
          </w:r>
          <w:r>
            <w:rPr>
              <w:rFonts w:eastAsia="Calibri" w:cs="Times New Roman"/>
              <w:szCs w:val="24"/>
            </w:rPr>
            <w:fldChar w:fldCharType="end"/>
          </w:r>
        </w:p>
        <w:p w14:paraId="0F4102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_Toc21402 </w:instrText>
          </w:r>
          <w:r>
            <w:rPr>
              <w:rFonts w:eastAsia="Calibri" w:cs="Times New Roman"/>
              <w:szCs w:val="24"/>
            </w:rPr>
            <w:fldChar w:fldCharType="separate"/>
          </w:r>
          <w:r>
            <w:t>South Sudan</w:t>
          </w:r>
          <w:r>
            <w:tab/>
          </w:r>
          <w:r>
            <w:fldChar w:fldCharType="begin"/>
          </w:r>
          <w:r>
            <w:instrText xml:space="preserve"> PAGEREF _Toc21402 \h </w:instrText>
          </w:r>
          <w:r>
            <w:fldChar w:fldCharType="separate"/>
          </w:r>
          <w:r>
            <w:t>12</w:t>
          </w:r>
          <w:r>
            <w:fldChar w:fldCharType="end"/>
          </w:r>
          <w:r>
            <w:rPr>
              <w:rFonts w:eastAsia="Calibri" w:cs="Times New Roman"/>
              <w:szCs w:val="24"/>
            </w:rPr>
            <w:fldChar w:fldCharType="end"/>
          </w:r>
        </w:p>
        <w:p w14:paraId="3CFA836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_Toc22668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minister in South Sudan denies Palestinian resettlement talks</w:t>
          </w:r>
          <w:r>
            <w:rPr>
              <w:rFonts w:hint="default"/>
              <w:lang w:val="en-GB"/>
            </w:rPr>
            <w:t xml:space="preserve"> </w:t>
          </w:r>
          <w:r>
            <w:tab/>
          </w:r>
          <w:r>
            <w:fldChar w:fldCharType="begin"/>
          </w:r>
          <w:r>
            <w:instrText xml:space="preserve"> PAGEREF _Toc22668 \h </w:instrText>
          </w:r>
          <w:r>
            <w:fldChar w:fldCharType="separate"/>
          </w:r>
          <w:r>
            <w:t>12</w:t>
          </w:r>
          <w:r>
            <w:fldChar w:fldCharType="end"/>
          </w:r>
          <w:r>
            <w:rPr>
              <w:rFonts w:eastAsia="Calibri" w:cs="Times New Roman"/>
              <w:szCs w:val="24"/>
            </w:rPr>
            <w:fldChar w:fldCharType="end"/>
          </w:r>
        </w:p>
        <w:p w14:paraId="26E39FC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_Toc28824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_Toc28824 \h </w:instrText>
          </w:r>
          <w:r>
            <w:fldChar w:fldCharType="separate"/>
          </w:r>
          <w:r>
            <w:t>12</w:t>
          </w:r>
          <w:r>
            <w:fldChar w:fldCharType="end"/>
          </w:r>
          <w:r>
            <w:rPr>
              <w:rFonts w:eastAsia="Calibri" w:cs="Times New Roman"/>
              <w:szCs w:val="24"/>
            </w:rPr>
            <w:fldChar w:fldCharType="end"/>
          </w:r>
        </w:p>
        <w:p w14:paraId="2D73FE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_Toc18681 </w:instrText>
          </w:r>
          <w:r>
            <w:rPr>
              <w:rFonts w:eastAsia="Calibri" w:cs="Times New Roman"/>
              <w:szCs w:val="24"/>
            </w:rPr>
            <w:fldChar w:fldCharType="separate"/>
          </w:r>
          <w:r>
            <w:t>Egypt</w:t>
          </w:r>
          <w:r>
            <w:tab/>
          </w:r>
          <w:r>
            <w:fldChar w:fldCharType="begin"/>
          </w:r>
          <w:r>
            <w:instrText xml:space="preserve"> PAGEREF _Toc18681 \h </w:instrText>
          </w:r>
          <w:r>
            <w:fldChar w:fldCharType="separate"/>
          </w:r>
          <w:r>
            <w:t>12</w:t>
          </w:r>
          <w:r>
            <w:fldChar w:fldCharType="end"/>
          </w:r>
          <w:r>
            <w:rPr>
              <w:rFonts w:eastAsia="Calibri" w:cs="Times New Roman"/>
              <w:szCs w:val="24"/>
            </w:rPr>
            <w:fldChar w:fldCharType="end"/>
          </w:r>
        </w:p>
        <w:p w14:paraId="74FC9D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_Toc24247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Jordan train Palestinian police for deployment in Gaza</w:t>
          </w:r>
          <w:r>
            <w:tab/>
          </w:r>
          <w:r>
            <w:fldChar w:fldCharType="begin"/>
          </w:r>
          <w:r>
            <w:instrText xml:space="preserve"> PAGEREF _Toc24247 \h </w:instrText>
          </w:r>
          <w:r>
            <w:fldChar w:fldCharType="separate"/>
          </w:r>
          <w:r>
            <w:t>12</w:t>
          </w:r>
          <w:r>
            <w:fldChar w:fldCharType="end"/>
          </w:r>
          <w:r>
            <w:rPr>
              <w:rFonts w:eastAsia="Calibri" w:cs="Times New Roman"/>
              <w:szCs w:val="24"/>
            </w:rPr>
            <w:fldChar w:fldCharType="end"/>
          </w:r>
        </w:p>
        <w:p w14:paraId="59672B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_Toc32652 </w:instrText>
          </w:r>
          <w:r>
            <w:rPr>
              <w:rFonts w:eastAsia="Calibri" w:cs="Times New Roman"/>
              <w:szCs w:val="24"/>
            </w:rPr>
            <w:fldChar w:fldCharType="separate"/>
          </w:r>
          <w:r>
            <w:rPr>
              <w:rFonts w:hint="default"/>
              <w:lang w:val="en-GB"/>
            </w:rPr>
            <w:t>Lebanon</w:t>
          </w:r>
          <w:r>
            <w:tab/>
          </w:r>
          <w:r>
            <w:fldChar w:fldCharType="begin"/>
          </w:r>
          <w:r>
            <w:instrText xml:space="preserve"> PAGEREF _Toc32652 \h </w:instrText>
          </w:r>
          <w:r>
            <w:fldChar w:fldCharType="separate"/>
          </w:r>
          <w:r>
            <w:t>13</w:t>
          </w:r>
          <w:r>
            <w:fldChar w:fldCharType="end"/>
          </w:r>
          <w:r>
            <w:rPr>
              <w:rFonts w:eastAsia="Calibri" w:cs="Times New Roman"/>
              <w:szCs w:val="24"/>
            </w:rPr>
            <w:fldChar w:fldCharType="end"/>
          </w:r>
        </w:p>
        <w:p w14:paraId="40B1D4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_Toc31437 </w:instrText>
          </w:r>
          <w:r>
            <w:rPr>
              <w:rFonts w:eastAsia="Calibri" w:cs="Times New Roman"/>
              <w:szCs w:val="24"/>
            </w:rPr>
            <w:fldChar w:fldCharType="separate"/>
          </w:r>
          <w:r>
            <w:rPr>
              <w:rFonts w:hint="default" w:ascii="Wingdings" w:hAnsi="Wingdings"/>
              <w:szCs w:val="16"/>
              <w:lang w:val="en-GB"/>
            </w:rPr>
            <w:t xml:space="preserve"> </w:t>
          </w:r>
          <w:r>
            <w:rPr>
              <w:rFonts w:hint="default"/>
            </w:rPr>
            <w:t>Hezbollah vows not to surrender weapons while Israel exists, warns Lebanese government</w:t>
          </w:r>
          <w:r>
            <w:tab/>
          </w:r>
          <w:r>
            <w:fldChar w:fldCharType="begin"/>
          </w:r>
          <w:r>
            <w:instrText xml:space="preserve"> PAGEREF _Toc31437 \h </w:instrText>
          </w:r>
          <w:r>
            <w:fldChar w:fldCharType="separate"/>
          </w:r>
          <w:r>
            <w:t>13</w:t>
          </w:r>
          <w:r>
            <w:fldChar w:fldCharType="end"/>
          </w:r>
          <w:r>
            <w:rPr>
              <w:rFonts w:eastAsia="Calibri" w:cs="Times New Roman"/>
              <w:szCs w:val="24"/>
            </w:rPr>
            <w:fldChar w:fldCharType="end"/>
          </w:r>
        </w:p>
        <w:p w14:paraId="3FE1B1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_Toc9213 </w:instrText>
          </w:r>
          <w:r>
            <w:rPr>
              <w:rFonts w:eastAsia="Calibri" w:cs="Times New Roman"/>
              <w:szCs w:val="24"/>
            </w:rPr>
            <w:fldChar w:fldCharType="separate"/>
          </w:r>
          <w:r>
            <w:t>Israel</w:t>
          </w:r>
          <w:r>
            <w:tab/>
          </w:r>
          <w:r>
            <w:fldChar w:fldCharType="begin"/>
          </w:r>
          <w:r>
            <w:instrText xml:space="preserve"> PAGEREF _Toc9213 \h </w:instrText>
          </w:r>
          <w:r>
            <w:fldChar w:fldCharType="separate"/>
          </w:r>
          <w:r>
            <w:t>14</w:t>
          </w:r>
          <w:r>
            <w:fldChar w:fldCharType="end"/>
          </w:r>
          <w:r>
            <w:rPr>
              <w:rFonts w:eastAsia="Calibri" w:cs="Times New Roman"/>
              <w:szCs w:val="24"/>
            </w:rPr>
            <w:fldChar w:fldCharType="end"/>
          </w:r>
        </w:p>
        <w:p w14:paraId="701437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_Toc31493 </w:instrText>
          </w:r>
          <w:r>
            <w:rPr>
              <w:rFonts w:eastAsia="Calibri" w:cs="Times New Roman"/>
              <w:szCs w:val="24"/>
            </w:rPr>
            <w:fldChar w:fldCharType="separate"/>
          </w:r>
          <w:r>
            <w:rPr>
              <w:rFonts w:hint="default" w:ascii="Wingdings" w:hAnsi="Wingdings"/>
              <w:szCs w:val="16"/>
              <w:lang w:val="en-GB"/>
            </w:rPr>
            <w:t xml:space="preserve"> </w:t>
          </w:r>
          <w:r>
            <w:rPr>
              <w:rFonts w:hint="default"/>
            </w:rPr>
            <w:t>UNRWA chief: Israel has blocked food entry to Gaza for over 5 months</w:t>
          </w:r>
          <w:r>
            <w:rPr>
              <w:rFonts w:hint="default"/>
              <w:lang w:val="en-GB"/>
            </w:rPr>
            <w:t xml:space="preserve"> </w:t>
          </w:r>
          <w:r>
            <w:tab/>
          </w:r>
          <w:r>
            <w:fldChar w:fldCharType="begin"/>
          </w:r>
          <w:r>
            <w:instrText xml:space="preserve"> PAGEREF _Toc31493 \h </w:instrText>
          </w:r>
          <w:r>
            <w:fldChar w:fldCharType="separate"/>
          </w:r>
          <w:r>
            <w:t>14</w:t>
          </w:r>
          <w:r>
            <w:fldChar w:fldCharType="end"/>
          </w:r>
          <w:r>
            <w:rPr>
              <w:rFonts w:eastAsia="Calibri" w:cs="Times New Roman"/>
              <w:szCs w:val="24"/>
            </w:rPr>
            <w:fldChar w:fldCharType="end"/>
          </w:r>
        </w:p>
        <w:p w14:paraId="7AF96C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_Toc21457 </w:instrText>
          </w:r>
          <w:r>
            <w:rPr>
              <w:rFonts w:eastAsia="Calibri" w:cs="Times New Roman"/>
              <w:szCs w:val="24"/>
            </w:rPr>
            <w:fldChar w:fldCharType="separate"/>
          </w:r>
          <w:r>
            <w:t>Palestine</w:t>
          </w:r>
          <w:r>
            <w:tab/>
          </w:r>
          <w:r>
            <w:fldChar w:fldCharType="begin"/>
          </w:r>
          <w:r>
            <w:instrText xml:space="preserve"> PAGEREF _Toc21457 \h </w:instrText>
          </w:r>
          <w:r>
            <w:fldChar w:fldCharType="separate"/>
          </w:r>
          <w:r>
            <w:t>14</w:t>
          </w:r>
          <w:r>
            <w:fldChar w:fldCharType="end"/>
          </w:r>
          <w:r>
            <w:rPr>
              <w:rFonts w:eastAsia="Calibri" w:cs="Times New Roman"/>
              <w:szCs w:val="24"/>
            </w:rPr>
            <w:fldChar w:fldCharType="end"/>
          </w:r>
        </w:p>
        <w:p w14:paraId="30773F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_Toc28341 </w:instrText>
          </w:r>
          <w:r>
            <w:rPr>
              <w:rFonts w:eastAsia="Calibri" w:cs="Times New Roman"/>
              <w:szCs w:val="24"/>
            </w:rPr>
            <w:fldChar w:fldCharType="separate"/>
          </w:r>
          <w:r>
            <w:rPr>
              <w:rFonts w:hint="default" w:ascii="Wingdings" w:hAnsi="Wingdings"/>
              <w:szCs w:val="16"/>
              <w:lang w:val="en-GB"/>
            </w:rPr>
            <w:t xml:space="preserve"> </w:t>
          </w:r>
          <w:r>
            <w:rPr>
              <w:rFonts w:hint="default"/>
            </w:rPr>
            <w:t>Gaza: Resistance warns of Israeli drones dropping spy devices, explosives</w:t>
          </w:r>
          <w:r>
            <w:tab/>
          </w:r>
          <w:r>
            <w:fldChar w:fldCharType="begin"/>
          </w:r>
          <w:r>
            <w:instrText xml:space="preserve"> PAGEREF _Toc28341 \h </w:instrText>
          </w:r>
          <w:r>
            <w:fldChar w:fldCharType="separate"/>
          </w:r>
          <w:r>
            <w:t>14</w:t>
          </w:r>
          <w:r>
            <w:fldChar w:fldCharType="end"/>
          </w:r>
          <w:r>
            <w:rPr>
              <w:rFonts w:eastAsia="Calibri" w:cs="Times New Roman"/>
              <w:szCs w:val="24"/>
            </w:rPr>
            <w:fldChar w:fldCharType="end"/>
          </w:r>
        </w:p>
        <w:p w14:paraId="39BD03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_Toc12644 </w:instrText>
          </w:r>
          <w:r>
            <w:rPr>
              <w:rFonts w:eastAsia="Calibri" w:cs="Times New Roman"/>
              <w:szCs w:val="24"/>
            </w:rPr>
            <w:fldChar w:fldCharType="separate"/>
          </w:r>
          <w:r>
            <w:t>Turkey</w:t>
          </w:r>
          <w:r>
            <w:tab/>
          </w:r>
          <w:r>
            <w:fldChar w:fldCharType="begin"/>
          </w:r>
          <w:r>
            <w:instrText xml:space="preserve"> PAGEREF _Toc12644 \h </w:instrText>
          </w:r>
          <w:r>
            <w:fldChar w:fldCharType="separate"/>
          </w:r>
          <w:r>
            <w:t>15</w:t>
          </w:r>
          <w:r>
            <w:fldChar w:fldCharType="end"/>
          </w:r>
          <w:r>
            <w:rPr>
              <w:rFonts w:eastAsia="Calibri" w:cs="Times New Roman"/>
              <w:szCs w:val="24"/>
            </w:rPr>
            <w:fldChar w:fldCharType="end"/>
          </w:r>
        </w:p>
        <w:p w14:paraId="7B0334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_Toc26039 </w:instrText>
          </w:r>
          <w:r>
            <w:rPr>
              <w:rFonts w:eastAsia="Calibri" w:cs="Times New Roman"/>
              <w:szCs w:val="24"/>
            </w:rPr>
            <w:fldChar w:fldCharType="separate"/>
          </w:r>
          <w:r>
            <w:rPr>
              <w:rFonts w:hint="default" w:ascii="Wingdings" w:hAnsi="Wingdings"/>
              <w:szCs w:val="16"/>
              <w:lang w:val="en-GB"/>
            </w:rPr>
            <w:t xml:space="preserve"> </w:t>
          </w:r>
          <w:r>
            <w:rPr>
              <w:rFonts w:hint="default"/>
            </w:rPr>
            <w:t>Turkey, Syria warn Israel of “fomenting chaos” in Syria</w:t>
          </w:r>
          <w:r>
            <w:tab/>
          </w:r>
          <w:r>
            <w:fldChar w:fldCharType="begin"/>
          </w:r>
          <w:r>
            <w:instrText xml:space="preserve"> PAGEREF _Toc26039 \h </w:instrText>
          </w:r>
          <w:r>
            <w:fldChar w:fldCharType="separate"/>
          </w:r>
          <w:r>
            <w:t>15</w:t>
          </w:r>
          <w:r>
            <w:fldChar w:fldCharType="end"/>
          </w:r>
          <w:r>
            <w:rPr>
              <w:rFonts w:eastAsia="Calibri" w:cs="Times New Roman"/>
              <w:szCs w:val="24"/>
            </w:rPr>
            <w:fldChar w:fldCharType="end"/>
          </w:r>
        </w:p>
        <w:p w14:paraId="7F0A37D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_Toc28752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_Toc28752 \h </w:instrText>
          </w:r>
          <w:r>
            <w:fldChar w:fldCharType="separate"/>
          </w:r>
          <w:r>
            <w:t>15</w:t>
          </w:r>
          <w:r>
            <w:fldChar w:fldCharType="end"/>
          </w:r>
          <w:r>
            <w:rPr>
              <w:rFonts w:eastAsia="Calibri" w:cs="Times New Roman"/>
              <w:szCs w:val="24"/>
            </w:rPr>
            <w:fldChar w:fldCharType="end"/>
          </w:r>
        </w:p>
        <w:p w14:paraId="6BA042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_Toc17343 </w:instrText>
          </w:r>
          <w:r>
            <w:rPr>
              <w:rFonts w:eastAsia="Calibri" w:cs="Times New Roman"/>
              <w:szCs w:val="24"/>
            </w:rPr>
            <w:fldChar w:fldCharType="separate"/>
          </w:r>
          <w:r>
            <w:rPr>
              <w:rFonts w:hint="default"/>
              <w:lang w:val="en-GB" w:eastAsia="zh-CN"/>
            </w:rPr>
            <w:t>US</w:t>
          </w:r>
          <w:r>
            <w:tab/>
          </w:r>
          <w:r>
            <w:fldChar w:fldCharType="begin"/>
          </w:r>
          <w:r>
            <w:instrText xml:space="preserve"> PAGEREF _Toc17343 \h </w:instrText>
          </w:r>
          <w:r>
            <w:fldChar w:fldCharType="separate"/>
          </w:r>
          <w:r>
            <w:t>15</w:t>
          </w:r>
          <w:r>
            <w:fldChar w:fldCharType="end"/>
          </w:r>
          <w:r>
            <w:rPr>
              <w:rFonts w:eastAsia="Calibri" w:cs="Times New Roman"/>
              <w:szCs w:val="24"/>
            </w:rPr>
            <w:fldChar w:fldCharType="end"/>
          </w:r>
        </w:p>
        <w:p w14:paraId="2C3C09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_Toc29168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he ‘would like to see’ Israel allow international journalists into Gaza</w:t>
          </w:r>
          <w:r>
            <w:rPr>
              <w:rFonts w:hint="default"/>
              <w:lang w:val="en-GB"/>
            </w:rPr>
            <w:t xml:space="preserve"> </w:t>
          </w:r>
          <w:r>
            <w:tab/>
          </w:r>
          <w:r>
            <w:fldChar w:fldCharType="begin"/>
          </w:r>
          <w:r>
            <w:instrText xml:space="preserve"> PAGEREF _Toc29168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6734"/>
      <w:r>
        <w:rPr>
          <w:rFonts w:eastAsia="DengXian Light" w:cs="Times New Roman"/>
          <w:b/>
          <w:bCs/>
          <w:color w:val="2F5496"/>
          <w:szCs w:val="24"/>
          <w:u w:val="single"/>
        </w:rPr>
        <w:t>GERD</w:t>
      </w:r>
      <w:bookmarkEnd w:id="0"/>
    </w:p>
    <w:p w14:paraId="298A0822">
      <w:pPr>
        <w:numPr>
          <w:ilvl w:val="0"/>
          <w:numId w:val="1"/>
        </w:numPr>
        <w:ind w:left="420" w:leftChars="0" w:hanging="420" w:firstLineChars="0"/>
        <w:rPr>
          <w:rFonts w:hint="default"/>
        </w:rPr>
      </w:pPr>
      <w:bookmarkStart w:id="1" w:name="_Toc31443"/>
      <w:r>
        <w:rPr>
          <w:rStyle w:val="15"/>
          <w:rFonts w:hint="default"/>
        </w:rPr>
        <w:t>GERD is Ethiopia’s crown jewel of sovereignty and national achievement, says competitive party NaMA</w:t>
      </w:r>
      <w:bookmarkEnd w:id="1"/>
      <w:r>
        <w:rPr>
          <w:rFonts w:hint="default"/>
          <w:lang w:val="en-GB"/>
        </w:rPr>
        <w:t xml:space="preserve"> -</w:t>
      </w:r>
      <w:r>
        <w:rPr>
          <w:rFonts w:hint="default"/>
          <w:lang w:val="en-GB"/>
        </w:rPr>
        <w:fldChar w:fldCharType="begin"/>
      </w:r>
      <w:r>
        <w:rPr>
          <w:rFonts w:hint="default"/>
          <w:lang w:val="en-GB"/>
        </w:rPr>
        <w:instrText xml:space="preserve"> HYPERLINK "https://www.fanamc.com/english/gerd-is-ethiopias-crown-jewel-of-sovereignty-and-national-achievement-says-competitive-party-nama/" </w:instrText>
      </w:r>
      <w:r>
        <w:rPr>
          <w:rFonts w:hint="default"/>
          <w:lang w:val="en-GB"/>
        </w:rPr>
        <w:fldChar w:fldCharType="separate"/>
      </w:r>
      <w:r>
        <w:rPr>
          <w:rStyle w:val="10"/>
          <w:rFonts w:hint="default"/>
          <w:lang w:val="en-GB"/>
        </w:rPr>
        <w:t xml:space="preserve"> Fana</w:t>
      </w:r>
      <w:r>
        <w:rPr>
          <w:rFonts w:hint="default"/>
          <w:lang w:val="en-GB"/>
        </w:rPr>
        <w:fldChar w:fldCharType="end"/>
      </w:r>
    </w:p>
    <w:p w14:paraId="46E3C165">
      <w:r>
        <w:rPr>
          <w:rFonts w:hint="default"/>
        </w:rPr>
        <w:t>The National Movement of Amhara (NaMA), a political party active in Ethiopia’s Amhara region and nationwide, has reaffirmed its strong support for the Grand Ethiopian Renaissance Dam (GERD), emphasizing Ethiopia’s sovereign right to develop the Nile and framing the project as a symbol of national unity, progress, and resilience.</w:t>
      </w:r>
      <w:r>
        <w:rPr>
          <w:rFonts w:hint="default"/>
          <w:lang w:val="en-GB"/>
        </w:rPr>
        <w:t xml:space="preserve"> </w:t>
      </w:r>
      <w:r>
        <w:rPr>
          <w:rFonts w:hint="default"/>
        </w:rPr>
        <w:t>In its statement, NaMA underlined that Ethiopia’s pursuit of energy security, agricultural modernization, and industrialization through projects such as the GERD is not only legitimate but essential for national development and regional stability. The party criticized Egypt for obstructing Ethiopia’s development ambitions, describing its stance as rooted in colonial-era treaties—the 1929 and 1959 Nile Waters Agreements—which excluded Ethiopia and other upstream nations. These treaties, NaMA said, have no legal or moral standing under modern international law, including the 1997 United Nations Convention on the Law of the Non-Navigational Uses of International Watercourses, which enshrines equitable and reasonable utilization of shared water resources.</w:t>
      </w:r>
      <w:r>
        <w:rPr>
          <w:rFonts w:hint="default"/>
          <w:lang w:val="en-GB"/>
        </w:rPr>
        <w:t xml:space="preserve"> </w:t>
      </w:r>
      <w:r>
        <w:rPr>
          <w:rFonts w:hint="default"/>
        </w:rPr>
        <w:t>“The Egyptian allegations against Ethiopia’s GERD are unsupported by facts, international treaties, or customary international laws,” the statement said, noting that no precedent exists for Egypt’s demand for unilateral control over transboundary rivers. NaMA also accused Egypt of relying on outdated claims and defunct treaties to justify obstruction, highlighting repeated diplomatic, governmental, and media statements that ignored Ethiopia’s legitimate rights.</w:t>
      </w:r>
      <w:r>
        <w:rPr>
          <w:rFonts w:hint="default"/>
          <w:lang w:val="en-GB"/>
        </w:rPr>
        <w:t xml:space="preserve"> </w:t>
      </w:r>
      <w:r>
        <w:rPr>
          <w:rFonts w:hint="default"/>
        </w:rPr>
        <w:t>Ethiopia’s progress, the party emphasized, will not be held hostage by Egypt’s “outdated, unjust, and baseless claims.” For Ethiopia, GERD is both an economic imperative and a matter of national security. NaMA cited historical and ongoing Egyptian interference, including support for secessionist movements, anti-Ethiopian propaganda, and destabilizing campaigns, aimed at curtailing Ethiopia’s development efforts on the Nile.</w:t>
      </w:r>
      <w:r>
        <w:rPr>
          <w:rFonts w:hint="default"/>
          <w:lang w:val="en-GB"/>
        </w:rPr>
        <w:t xml:space="preserve"> </w:t>
      </w:r>
      <w:r>
        <w:rPr>
          <w:rFonts w:hint="default"/>
        </w:rPr>
        <w:t>The statement condemned recent remarks by Egyptian President Abdel-Fattah El-Sisi on August 13, 2025, during a joint press conference with Ugandan President Yoweri Museveni, warning Egypt would take “all measures provided for under international law” to safeguard its Nile share. NaMA described these statements as “hyperbolic and hypocritical,” noting that Ethiopia, like Egypt, has millions of citizens who rely on the Nile for development.</w:t>
      </w:r>
      <w:r>
        <w:rPr>
          <w:rFonts w:hint="default"/>
          <w:lang w:val="en-GB"/>
        </w:rPr>
        <w:t xml:space="preserve"> </w:t>
      </w:r>
      <w:r>
        <w:rPr>
          <w:rFonts w:hint="default"/>
        </w:rPr>
        <w:t>NaMA stressed that GERD, now fully completed and inauguration-ready, is primarily a hydropower project—a non-consumptive use that promotes sustainable development without significantly harming downstream states. The party said the dam could benefit Egypt and Sudan through improved flow regulation, flood control, and drought mitigation, aligning with international law and established principles on equitable water use, including the 1966 Helsinki Rules.</w:t>
      </w:r>
      <w:r>
        <w:rPr>
          <w:rFonts w:hint="default"/>
          <w:lang w:val="en-GB"/>
        </w:rPr>
        <w:t xml:space="preserve"> </w:t>
      </w:r>
      <w:r>
        <w:rPr>
          <w:rFonts w:hint="default"/>
        </w:rPr>
        <w:t>Calling for constructive engagement, NaMA urged Egypt to participate in the Nile Basin Cooperative Framework Agreement (CFA), describing it as the only lawful and sustainable framework for regional cooperation. The party appealed to the African Union, BRICS, the European Union, and the United Nations to reject Egyptian obstruction and uphold Ethiopia’s lawful development of the GERD.</w:t>
      </w:r>
      <w:r>
        <w:rPr>
          <w:rFonts w:hint="default"/>
          <w:lang w:val="en-GB"/>
        </w:rPr>
        <w:t xml:space="preserve"> </w:t>
      </w:r>
      <w:r>
        <w:rPr>
          <w:rFonts w:hint="default"/>
        </w:rPr>
        <w:t>NaMA also addressed Ethiopians, urging national unity and vigilance in protecting the dam, resolving internal conflicts through dialogue, and safeguarding the country’s sovereignty. The statement emphasized GERD as a project that transcends partisan politics, directly contributing to the security, development, and future of Ethiopia for generations to come.</w:t>
      </w:r>
      <w:r>
        <w:rPr>
          <w:rFonts w:hint="default"/>
          <w:lang w:val="en-GB"/>
        </w:rPr>
        <w:t xml:space="preserve"> </w:t>
      </w:r>
      <w:r>
        <w:rPr>
          <w:rFonts w:hint="default"/>
        </w:rPr>
        <w:t>To Egyptians, the party called for cooperation over confrontation, highlighting the Nile as a shared resource that has historically connected both nations through culture, faith, and history.</w:t>
      </w:r>
      <w:r>
        <w:rPr>
          <w:rFonts w:hint="default"/>
          <w:lang w:val="en-GB"/>
        </w:rPr>
        <w:t xml:space="preserve"> </w:t>
      </w:r>
      <w:r>
        <w:rPr>
          <w:rFonts w:hint="default"/>
        </w:rPr>
        <w:t>“The GERD is a testament to Ethiopia’s resilience and unity,” NaMA concluded. “It stands as a triumph over external pressure and a guarantee of a brighter future for generations to come. The time for just and fair utilization of the Nile is now. Ethiopia will not be deterred.”</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1271"/>
      <w:r>
        <w:rPr>
          <w:rFonts w:eastAsia="DengXian Light" w:cs="Times New Roman"/>
          <w:b/>
          <w:bCs/>
          <w:color w:val="2F5496"/>
          <w:szCs w:val="24"/>
          <w:u w:val="single"/>
        </w:rPr>
        <w:t>Ethiopia</w:t>
      </w:r>
      <w:bookmarkEnd w:id="2"/>
    </w:p>
    <w:p w14:paraId="194AD0BF">
      <w:pPr>
        <w:numPr>
          <w:ilvl w:val="0"/>
          <w:numId w:val="1"/>
        </w:numPr>
        <w:spacing w:line="276" w:lineRule="auto"/>
        <w:ind w:left="420" w:leftChars="0" w:hanging="420" w:firstLineChars="0"/>
        <w:rPr>
          <w:rFonts w:hint="default"/>
          <w:szCs w:val="24"/>
        </w:rPr>
      </w:pPr>
      <w:bookmarkStart w:id="3" w:name="_Toc32546"/>
      <w:r>
        <w:rPr>
          <w:rStyle w:val="15"/>
          <w:rFonts w:hint="default"/>
        </w:rPr>
        <w:t>NRC Confirms Rehabilitated Ex-Combatants Will Return to Work with Full Benefits</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"https://www.fanamc.com/english/nrc-confirms-rehabilitated-ex-combatants-will-return-to-work-with-full-benefits/"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A0E1FDF">
      <w:pPr>
        <w:spacing w:line="276" w:lineRule="auto"/>
        <w:rPr>
          <w:rFonts w:hint="default"/>
          <w:szCs w:val="24"/>
        </w:rPr>
      </w:pPr>
      <w:r>
        <w:rPr>
          <w:rFonts w:hint="default"/>
          <w:szCs w:val="24"/>
        </w:rPr>
        <w:t>The National Rehabilitation Commission (NRC) has announced that former militants who have successfully completed the rehabilitation program will be reinstated to their previous government positions, including roles within the security forces, with full institutional benefits.</w:t>
      </w:r>
      <w:r>
        <w:rPr>
          <w:rFonts w:hint="default"/>
          <w:szCs w:val="24"/>
          <w:lang w:val="en-GB"/>
        </w:rPr>
        <w:t xml:space="preserve"> </w:t>
      </w:r>
      <w:r>
        <w:rPr>
          <w:rFonts w:hint="default"/>
          <w:szCs w:val="24"/>
        </w:rPr>
        <w:t>In a press statement, Brigadier General Derbe Mekuria, Deputy Commissioner of the NRC, explained that the commission has compiled detailed profiles of ex-combatants, including individuals who previously served in the Ethiopian National Defense Forces (ENDF) and participated in international peacekeeping missions before joining the former TPLF. These individuals are now undergoing targeted rehabilitation training to support their reintegration, in line with the Pretoria Cessation of Hostilities Agreement.</w:t>
      </w:r>
      <w:r>
        <w:rPr>
          <w:rFonts w:hint="default"/>
          <w:szCs w:val="24"/>
          <w:lang w:val="en-GB"/>
        </w:rPr>
        <w:t xml:space="preserve"> </w:t>
      </w:r>
      <w:r>
        <w:rPr>
          <w:rFonts w:hint="default"/>
          <w:szCs w:val="24"/>
        </w:rPr>
        <w:t>Brig. Gen. Derbe emphasized that former militants currently residing in areas near the Sudanese border will also be included in the reintegration program and provided with comprehensive support to ensure a smooth transition back into public service.</w:t>
      </w:r>
      <w:r>
        <w:rPr>
          <w:rFonts w:hint="default"/>
          <w:szCs w:val="24"/>
          <w:lang w:val="en-GB"/>
        </w:rPr>
        <w:t xml:space="preserve"> </w:t>
      </w:r>
      <w:r>
        <w:rPr>
          <w:rFonts w:hint="default"/>
          <w:szCs w:val="24"/>
        </w:rPr>
        <w:t>According to the NRC, all government employees, including members of the security sector, who complete the rehabilitation program will be reinstated to their former roles with all entitlements and compensation, as mandated by their respective institutions. Digital legal identity cards will also be issued to facilitate their reintegration, ensuring that institutions honor benefit entitlements in full.</w:t>
      </w:r>
      <w:r>
        <w:rPr>
          <w:rFonts w:hint="default"/>
          <w:szCs w:val="24"/>
          <w:lang w:val="en-GB"/>
        </w:rPr>
        <w:t xml:space="preserve"> </w:t>
      </w:r>
      <w:r>
        <w:rPr>
          <w:rFonts w:hint="default"/>
          <w:szCs w:val="24"/>
        </w:rPr>
        <w:t>Brig. Gen. Derbe further confirmed that United Nations subsidy payments, previously suspended due to desertion, will be resumed for individuals who successfully complete the program. Senior defense officials who have renounced conflict and embraced peace will also be formally recognized and honored, in accordance with national post-conflict reconciliation procedures.</w:t>
      </w:r>
      <w:r>
        <w:rPr>
          <w:rFonts w:hint="default"/>
          <w:szCs w:val="24"/>
          <w:lang w:val="en-GB"/>
        </w:rPr>
        <w:t xml:space="preserve"> </w:t>
      </w:r>
      <w:r>
        <w:rPr>
          <w:rFonts w:hint="default"/>
          <w:szCs w:val="24"/>
        </w:rPr>
        <w:t>The NRC highlighted its past achievements, noting the successful rehabilitation and reintegration of 65,500 former militants. The program has been funded through a federal allocation of 1.2 billion Birr, covering training, food, accommodation, and clothing at rehabilitation centers. Each rehabilitated individual received 90,400 Birr in support payments to assist in their transition back to civilian life, with partner organizations contributing a total of 5.9 billion Birr.</w:t>
      </w:r>
    </w:p>
    <w:p w14:paraId="7CA8485B">
      <w:pPr>
        <w:numPr>
          <w:ilvl w:val="0"/>
          <w:numId w:val="1"/>
        </w:numPr>
        <w:spacing w:line="276" w:lineRule="auto"/>
        <w:ind w:left="420" w:leftChars="0" w:hanging="420" w:firstLineChars="0"/>
        <w:rPr>
          <w:rFonts w:hint="default"/>
          <w:szCs w:val="24"/>
        </w:rPr>
      </w:pPr>
      <w:bookmarkStart w:id="4" w:name="_Toc13262"/>
      <w:r>
        <w:rPr>
          <w:rStyle w:val="15"/>
          <w:rFonts w:hint="default"/>
        </w:rPr>
        <w:t>Dialogue Commission Extends Agenda Collection to Diaspora Communities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"https://www.fanamc.com/english/dialogue-commission-extends-agenda-collection-to-diaspora-communities/"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F250D2C">
      <w:pPr>
        <w:spacing w:line="276" w:lineRule="auto"/>
        <w:rPr>
          <w:rFonts w:hint="default"/>
          <w:szCs w:val="24"/>
        </w:rPr>
      </w:pPr>
      <w:r>
        <w:rPr>
          <w:rFonts w:hint="default"/>
          <w:szCs w:val="24"/>
        </w:rPr>
        <w:t>The Ethiopian National Dialogue Commission (ENDC) has urged Ethiopian diaspora communities worldwide to prepare and submit proposals that address the country’s most pressing challenges, as part of its ongoing effort to foster national reconciliation and lasting peace.</w:t>
      </w:r>
      <w:r>
        <w:rPr>
          <w:rFonts w:hint="default"/>
          <w:szCs w:val="24"/>
          <w:lang w:val="en-GB"/>
        </w:rPr>
        <w:t xml:space="preserve"> </w:t>
      </w:r>
      <w:r>
        <w:rPr>
          <w:rFonts w:hint="default"/>
          <w:szCs w:val="24"/>
        </w:rPr>
        <w:t>Chief Commissioner Prof. Mesfin Araya announced that the Commission will soon begin gathering agendas from Ethiopian communities abroad, complementing the agenda collection already completed in 11 regions, including the Addis Ababa and Dire Dawa city administrations. He confirmed that initial steps have also been taken to initiate the process in the Tigray Region.</w:t>
      </w:r>
      <w:r>
        <w:rPr>
          <w:rFonts w:hint="default"/>
          <w:szCs w:val="24"/>
          <w:lang w:val="en-GB"/>
        </w:rPr>
        <w:t xml:space="preserve"> </w:t>
      </w:r>
      <w:r>
        <w:rPr>
          <w:rFonts w:hint="default"/>
          <w:szCs w:val="24"/>
        </w:rPr>
        <w:t>Political parties in Tigray have welcomed the Commission’s August 1, 2025 visit to Mekelle as a meaningful step toward peace. During the visit, the ENDC held discussions with multiple political groups, all of which expressed strong support for launching the dialogue in the region.</w:t>
      </w:r>
      <w:r>
        <w:rPr>
          <w:rFonts w:hint="default"/>
          <w:szCs w:val="24"/>
          <w:lang w:val="en-GB"/>
        </w:rPr>
        <w:t xml:space="preserve"> </w:t>
      </w:r>
      <w:r>
        <w:rPr>
          <w:rFonts w:hint="default"/>
          <w:szCs w:val="24"/>
        </w:rPr>
        <w:t>According to Prof. Mesfin, consultations with diaspora communities will be conducted in a hybrid format—primarily online to reduce time and financial constraints, but also through targeted in-person sessions. Discussions have already been held with Ethiopian communities in several African countries. Upcoming engagements include a session in Pretoria, South Africa, and in-person consultations in Washington, D.C., from August 23–31, followed by sessions in Toronto, London, and Stockholm. Agendas gathered will be reviewed by the Commission Council before moving forward.</w:t>
      </w:r>
      <w:r>
        <w:rPr>
          <w:rFonts w:hint="default"/>
          <w:szCs w:val="24"/>
          <w:lang w:val="en-GB"/>
        </w:rPr>
        <w:t xml:space="preserve"> </w:t>
      </w:r>
      <w:r>
        <w:rPr>
          <w:rFonts w:hint="default"/>
          <w:szCs w:val="24"/>
        </w:rPr>
        <w:t>The Chief Commissioner emphasized that the national dialogue will be inclusive, impartial, and anchored in the Ethiopian constitution. Approximately 4,000 agendas are expected to be reviewed, with those gaining broad consensus forwarded to the executive body for implementation under the Commission’s oversight.</w:t>
      </w:r>
      <w:r>
        <w:rPr>
          <w:rFonts w:hint="default"/>
          <w:szCs w:val="24"/>
          <w:lang w:val="en-GB"/>
        </w:rPr>
        <w:t xml:space="preserve"> </w:t>
      </w:r>
      <w:r>
        <w:rPr>
          <w:rFonts w:hint="default"/>
          <w:szCs w:val="24"/>
        </w:rPr>
        <w:t>Prof. Mesfin encouraged diaspora members to actively engage in the process, seek clarifications on complex issues, and submit well-considered proposals that serve the national interest. Submissions can be made through the Commission’s website, email, telephone, or via relatives and friends in Ethiopia.</w:t>
      </w:r>
      <w:r>
        <w:rPr>
          <w:rFonts w:hint="default"/>
          <w:szCs w:val="24"/>
          <w:lang w:val="en-GB"/>
        </w:rPr>
        <w:t xml:space="preserve"> </w:t>
      </w:r>
      <w:r>
        <w:rPr>
          <w:rFonts w:hint="default"/>
          <w:szCs w:val="24"/>
        </w:rPr>
        <w:t>The ENDC’s mandate is to create conditions conducive to national consensus by identifying the root causes of division through research and public dialogue, and by presenting recommendations to relevant authorities. Since its establishment, the Commission has undertaken extensive outreach to ensure all segments of society—domestic and abroad—have a voice in shaping Ethiopia’s future.</w:t>
      </w:r>
      <w:r>
        <w:rPr>
          <w:rFonts w:hint="default"/>
          <w:szCs w:val="24"/>
          <w:lang w:val="en-GB"/>
        </w:rPr>
        <w:t xml:space="preserve"> </w:t>
      </w:r>
      <w:r>
        <w:rPr>
          <w:rFonts w:hint="default"/>
          <w:szCs w:val="24"/>
        </w:rPr>
        <w:t>Prof. Mesfin reaffirmed the Commission’s commitment to moving forward efficiently, ensuring broad and equitable participation, and delivering results within the shortest possible timeframe without compromising inclusivity or transparency.</w:t>
      </w:r>
    </w:p>
    <w:p w14:paraId="5EE44611">
      <w:pPr>
        <w:numPr>
          <w:ilvl w:val="0"/>
          <w:numId w:val="1"/>
        </w:numPr>
        <w:spacing w:line="276" w:lineRule="auto"/>
        <w:ind w:left="420" w:leftChars="0" w:hanging="420" w:firstLineChars="0"/>
        <w:rPr>
          <w:rFonts w:hint="default"/>
          <w:szCs w:val="24"/>
        </w:rPr>
      </w:pPr>
      <w:bookmarkStart w:id="5" w:name="_Toc9589"/>
      <w:r>
        <w:rPr>
          <w:rStyle w:val="15"/>
          <w:rFonts w:hint="default"/>
        </w:rPr>
        <w:t>Opposition parties in Tigray dispute Dialogue Commission’s claim of progress in engagement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"https://addisstandard.com/opposition-parties-in-tigray-dispute-dialogue-commissions-claim-of-progress-in-engagement/"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37F3572">
      <w:pPr>
        <w:spacing w:line="276" w:lineRule="auto"/>
        <w:rPr>
          <w:rFonts w:hint="default"/>
          <w:szCs w:val="24"/>
        </w:rPr>
      </w:pPr>
      <w:r>
        <w:rPr>
          <w:rFonts w:hint="default"/>
          <w:szCs w:val="24"/>
        </w:rPr>
        <w:t>The National Dialogue Commission says it has made progress in Tigray following a visit to the region and meetings with the interim administration’s leadership, political parties, civic associations, and members of Tigray’s public diplomacy.</w:t>
      </w:r>
      <w:r>
        <w:rPr>
          <w:rFonts w:hint="default"/>
          <w:szCs w:val="24"/>
          <w:lang w:val="en-GB"/>
        </w:rPr>
        <w:t xml:space="preserve"> </w:t>
      </w:r>
      <w:r>
        <w:rPr>
          <w:rFonts w:hint="default"/>
          <w:szCs w:val="24"/>
        </w:rPr>
        <w:t>Opposition parties, however, dispute the commission’s account, denying that such talks took place and expressing deep skepticism about the dialogue process amid what they call unresolved political questions.</w:t>
      </w:r>
      <w:r>
        <w:rPr>
          <w:rFonts w:hint="default"/>
          <w:szCs w:val="24"/>
          <w:lang w:val="en-GB"/>
        </w:rPr>
        <w:t xml:space="preserve"> </w:t>
      </w:r>
      <w:r>
        <w:rPr>
          <w:rFonts w:hint="default"/>
          <w:szCs w:val="24"/>
        </w:rPr>
        <w:t>On Friday, 8 August, Chief Commissioner Professor Mesfin Araya told state media that the commission’s delegation, which traveled to Tigray last week, held wide-ranging discussions with the interim administration, political parties, and civic groups. He said stakeholders expressed appreciation for the commission’s outreach and that the visit was used to explain the process, mandate, and objectives of the national dialogue — steps he described as essential to building trust in the early stages.</w:t>
      </w:r>
      <w:r>
        <w:rPr>
          <w:rFonts w:hint="default"/>
          <w:szCs w:val="24"/>
          <w:lang w:val="en-GB"/>
        </w:rPr>
        <w:t xml:space="preserve"> </w:t>
      </w:r>
      <w:r>
        <w:rPr>
          <w:rFonts w:hint="default"/>
          <w:szCs w:val="24"/>
        </w:rPr>
        <w:t>Yet, opposition parties in Tigray challenge this version of events. Leaders from the Tigrai Independence Party (TIP) and Salsay Weyane Tigray (SaWeT) insist no meaningful consultations were held with them and reject the idea that the interim administration can legitimately represent Tigray in the process.</w:t>
      </w:r>
      <w:r>
        <w:rPr>
          <w:rFonts w:hint="default"/>
          <w:szCs w:val="24"/>
          <w:lang w:val="en-GB"/>
        </w:rPr>
        <w:t xml:space="preserve"> </w:t>
      </w:r>
      <w:r>
        <w:rPr>
          <w:rFonts w:hint="default"/>
          <w:szCs w:val="24"/>
        </w:rPr>
        <w:t>“The people of Tigray still face unresolved critical political issues. Dialogue cannot move forward until constitutional order is fully restored, and any such process must be conducted by a legitimately elected government that represents the Tigrayan nation and speaks on its behalf,” TIP chairman Dejen Mezgebe told Addis Standard.</w:t>
      </w:r>
      <w:r>
        <w:rPr>
          <w:rFonts w:hint="default"/>
          <w:szCs w:val="24"/>
          <w:lang w:val="en-GB"/>
        </w:rPr>
        <w:t xml:space="preserve"> </w:t>
      </w:r>
      <w:r>
        <w:rPr>
          <w:rFonts w:hint="default"/>
          <w:szCs w:val="24"/>
        </w:rPr>
        <w:t>Alula Hailu, chairman of SaWeT, voiced similar frustrations. “They don’t care about the legitimate questions we have been raising for a long time. They just want to proceed and ensure Tigray is included when they draft a constitutional amendment,” he said.</w:t>
      </w:r>
      <w:r>
        <w:rPr>
          <w:rFonts w:hint="default"/>
          <w:szCs w:val="24"/>
          <w:lang w:val="en-GB"/>
        </w:rPr>
        <w:t xml:space="preserve"> </w:t>
      </w:r>
      <w:r>
        <w:rPr>
          <w:rFonts w:hint="default"/>
          <w:szCs w:val="24"/>
        </w:rPr>
        <w:t>The commission’s visit, which took place in the fourth week of July 2025, included talks with Tigray Interim Administration President Lt. Gen. Tadesse Werede and his cabinet in Mekelle. While describing the commission’s engagement as “an important step,” Lt. Gen. Tadesse also warned that the gradual restriction of essential supplies, particularly fuel, risks derailing peace efforts. “The cutoff of fuel and other resources undermines peace efforts and risks reversing the progress we have made,” he said.</w:t>
      </w:r>
      <w:r>
        <w:rPr>
          <w:rFonts w:hint="default"/>
          <w:szCs w:val="24"/>
          <w:lang w:val="en-GB"/>
        </w:rPr>
        <w:t xml:space="preserve"> </w:t>
      </w:r>
      <w:r>
        <w:rPr>
          <w:rFonts w:hint="default"/>
          <w:szCs w:val="24"/>
        </w:rPr>
        <w:t>In an interview with local media last week, Lt. Gen. Tadesse stressed that certain issues specific to Tigray must be addressed before any formal dialogue can begin. “We met the National Dialogue Commission and told them that there are political issues between the federal government and Tigray that need to be addressed first. The case with Tigray is different from the other regions. There is a gap created during the war, and that must be addressed so it doesn’t negatively affect the dialogue,” he said.</w:t>
      </w:r>
      <w:r>
        <w:rPr>
          <w:rFonts w:hint="default"/>
          <w:szCs w:val="24"/>
          <w:lang w:val="en-GB"/>
        </w:rPr>
        <w:t xml:space="preserve"> </w:t>
      </w:r>
      <w:r>
        <w:rPr>
          <w:rFonts w:hint="default"/>
          <w:szCs w:val="24"/>
        </w:rPr>
        <w:t>This aligns with earlier remarks from the commission itself. In October last year, commission spokesperson Tibebu Tadesse told Addis Standard that while efforts had been made to engage with the Tigray Interim Administration, progress depended on resolving “preliminary issues” identified by the regional leadership before a meaningful dialogue could proceed.</w:t>
      </w:r>
      <w:r>
        <w:rPr>
          <w:rFonts w:hint="default"/>
          <w:szCs w:val="24"/>
          <w:lang w:val="en-GB"/>
        </w:rPr>
        <w:t xml:space="preserve"> </w:t>
      </w:r>
      <w:r>
        <w:rPr>
          <w:rFonts w:hint="default"/>
          <w:szCs w:val="24"/>
        </w:rPr>
        <w:t xml:space="preserve">The commission had originally planned to conclude its national agenda-gathering phase by 30 September 2024. Professor Mesfin now says the formal national dialogue process is expected to begin in mid-September 2025. </w:t>
      </w:r>
    </w:p>
    <w:p w14:paraId="2834810A">
      <w:pPr>
        <w:numPr>
          <w:ilvl w:val="0"/>
          <w:numId w:val="1"/>
        </w:numPr>
        <w:spacing w:line="276" w:lineRule="auto"/>
        <w:ind w:left="420" w:leftChars="0" w:hanging="420" w:firstLineChars="0"/>
        <w:rPr>
          <w:rFonts w:hint="default"/>
          <w:szCs w:val="24"/>
        </w:rPr>
      </w:pPr>
      <w:bookmarkStart w:id="6" w:name="_Toc30193"/>
      <w:r>
        <w:rPr>
          <w:rStyle w:val="15"/>
          <w:rFonts w:hint="default"/>
        </w:rPr>
        <w:t>Ethiopia launches UN-backed initiative to combat child wasting crisis affecting above 11% children under five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"https://addisstandard.com/ethiopia-launches-un-backed-initiative-to-combat-child-wasting-crisis-affecting-above-11-children-under-five/"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083CE80">
      <w:pPr>
        <w:spacing w:line="276" w:lineRule="auto"/>
        <w:rPr>
          <w:rFonts w:hint="default"/>
          <w:szCs w:val="24"/>
        </w:rPr>
      </w:pPr>
      <w:r>
        <w:rPr>
          <w:rFonts w:hint="default"/>
          <w:szCs w:val="24"/>
        </w:rPr>
        <w:t>Ethiopia has launched a five-year multisectoral drive to combat child wasting, one of the country’s most urgent yet under-addressed public health threats, amid mounting evidence of worsening malnutrition, which now “affects more than 11% of Ethiopian children under five”, up from the 7.68% prevalence recorded in the 2019 Ethiopian Mini Demographic and Health Survey.</w:t>
      </w:r>
      <w:r>
        <w:rPr>
          <w:rFonts w:hint="default"/>
          <w:szCs w:val="24"/>
          <w:lang w:val="en-GB"/>
        </w:rPr>
        <w:t xml:space="preserve"> </w:t>
      </w:r>
      <w:r>
        <w:rPr>
          <w:rFonts w:hint="default"/>
          <w:szCs w:val="24"/>
        </w:rPr>
        <w:t>The Joint UN Initiative for the Prevention of Wasting (JUNIPr), officially to be launched on 17 July by the Federal Ministry of Health in partnership with the World Health Organization (WHO), United Nations Children’s Fund (UNICEF), and the World Food Program (WFP), aims to accelerate prevention measures for wasting in children aged 0 to 18 months. The initiative is supported by the UK’s Foreign, Commonwealth and Development Office (FCDO) and is being piloted in Ethiopia, Mali, and Bangladesh</w:t>
      </w:r>
      <w:r>
        <w:rPr>
          <w:rFonts w:hint="default"/>
          <w:szCs w:val="24"/>
          <w:lang w:val="en-GB"/>
        </w:rPr>
        <w:t xml:space="preserve">. </w:t>
      </w:r>
      <w:r>
        <w:rPr>
          <w:rFonts w:hint="default"/>
          <w:szCs w:val="24"/>
        </w:rPr>
        <w:t>“This initiative is about prevention, integration, and long-term solutions. It is time for Ethiopia to lead the way,” said Hiwot Dersane, the Ministry’s Nutrition Lead Executive Officer, during the four-day Co-Creation Workshop in Adama. Over 40 representatives from regional health bureaus, line ministries, academic institutions, UN agencies, NGOs, and technical experts took part in shaping an evidence-based prevention package, according to WHO. A second national workshop in early 2026 will finalize interventions, with Ethiopia’s experience expected to serve as a model for other countries.</w:t>
      </w:r>
      <w:r>
        <w:rPr>
          <w:rFonts w:hint="default"/>
          <w:szCs w:val="24"/>
          <w:lang w:val="en-GB"/>
        </w:rPr>
        <w:t xml:space="preserve"> </w:t>
      </w:r>
      <w:r>
        <w:rPr>
          <w:rFonts w:hint="default"/>
          <w:szCs w:val="24"/>
        </w:rPr>
        <w:t>A persistent and complex emergenc</w:t>
      </w:r>
      <w:r>
        <w:rPr>
          <w:rFonts w:hint="default"/>
          <w:szCs w:val="24"/>
          <w:lang w:val="en-GB"/>
        </w:rPr>
        <w:t xml:space="preserve">y: </w:t>
      </w:r>
      <w:r>
        <w:rPr>
          <w:rFonts w:hint="default"/>
          <w:szCs w:val="24"/>
        </w:rPr>
        <w:t>Data from the 2019 Ethiopian Mini Demographic and Health Survey shows wasting prevalence at 7.68% – well above the WHO’s target of reducing rates below 5% by 2025. The study revealed deep systemic challenges: over half of mothers lacked formal education, more than a quarter had no antenatal care, and 87% did not access postnatal care for their children. Large household sizes, poor dietary diversity, and home deliveries were among key factors associated with wasting.</w:t>
      </w:r>
      <w:r>
        <w:rPr>
          <w:rFonts w:hint="default"/>
          <w:szCs w:val="24"/>
          <w:lang w:val="en-GB"/>
        </w:rPr>
        <w:t xml:space="preserve"> </w:t>
      </w:r>
      <w:r>
        <w:rPr>
          <w:rFonts w:hint="default"/>
          <w:szCs w:val="24"/>
        </w:rPr>
        <w:t>Wasting, an acute, visible, and life-threatening form of undernutrition, causes recurrent illness, delayed growth, poor cognitive development, and in the long term, stunting, reduced learning ability, and diminished work productivity.</w:t>
      </w:r>
      <w:r>
        <w:rPr>
          <w:rFonts w:hint="default"/>
          <w:szCs w:val="24"/>
          <w:lang w:val="en-GB"/>
        </w:rPr>
        <w:t xml:space="preserve"> </w:t>
      </w:r>
      <w:r>
        <w:rPr>
          <w:rFonts w:hint="default"/>
          <w:szCs w:val="24"/>
        </w:rPr>
        <w:t>Experts warn that unless addressed urgently, the current trajectory will derail Ethiopia’s commitments to both national and global nutrition targets.</w:t>
      </w:r>
      <w:r>
        <w:rPr>
          <w:rFonts w:hint="default"/>
          <w:szCs w:val="24"/>
          <w:lang w:val="en-GB"/>
        </w:rPr>
        <w:t xml:space="preserve"> </w:t>
      </w:r>
      <w:r>
        <w:rPr>
          <w:rFonts w:hint="default"/>
          <w:szCs w:val="24"/>
        </w:rPr>
        <w:t>From drought to deadly violence</w:t>
      </w:r>
      <w:r>
        <w:rPr>
          <w:rFonts w:hint="default"/>
          <w:szCs w:val="24"/>
          <w:lang w:val="en-GB"/>
        </w:rPr>
        <w:t xml:space="preserve">: </w:t>
      </w:r>
      <w:r>
        <w:rPr>
          <w:rFonts w:hint="default"/>
          <w:szCs w:val="24"/>
        </w:rPr>
        <w:t>The current push for prevention follows a series of grim assessments exacerbated by the multiple security crises and drought-induced food insecurity Ethiopia witnessed between the 2019 Mini Demographic and Health Survey and now.</w:t>
      </w:r>
      <w:r>
        <w:rPr>
          <w:rFonts w:hint="default"/>
          <w:szCs w:val="24"/>
          <w:lang w:val="en-GB"/>
        </w:rPr>
        <w:t xml:space="preserve"> </w:t>
      </w:r>
      <w:r>
        <w:rPr>
          <w:rFonts w:hint="default"/>
          <w:szCs w:val="24"/>
        </w:rPr>
        <w:t>In March 2025, the Global Nutrition Cluster, a coalition of 33 NGOs, warned that acute malnutrition rates in several regions had “surpassed the critical threshold of 15%.” Stabilization centers reported the highest mortality rates in Gambella, Benishangul Gumuz, and Southwest Ethiopia, while Amhara recorded the highest treatment non-response rates. Oromia’s East and West Hararghe zones also saw alarming cases of edematous malnutrition caused by severe protein deficiency.</w:t>
      </w:r>
      <w:r>
        <w:rPr>
          <w:rFonts w:hint="default"/>
          <w:szCs w:val="24"/>
          <w:lang w:val="en-GB"/>
        </w:rPr>
        <w:t xml:space="preserve"> </w:t>
      </w:r>
      <w:r>
        <w:rPr>
          <w:rFonts w:hint="default"/>
          <w:szCs w:val="24"/>
        </w:rPr>
        <w:t>In February 2024, the Amhara Public Health Institute reported that over 250,000 children in drought-stricken areas of the region were suffering from “emergency food shortages.” Only 53% of severely malnourished children and 15% of moderately malnourished children received assistance, while just 11% of moderately malnourished mothers were reached with aid.</w:t>
      </w:r>
      <w:r>
        <w:rPr>
          <w:rFonts w:hint="default"/>
          <w:szCs w:val="24"/>
          <w:lang w:val="en-GB"/>
        </w:rPr>
        <w:t xml:space="preserve"> </w:t>
      </w:r>
      <w:r>
        <w:rPr>
          <w:rFonts w:hint="default"/>
          <w:szCs w:val="24"/>
        </w:rPr>
        <w:t>Compounding the crisis, outbreaks of measles, mumps, and cholera swept through affected districts in different regions including Amhara, and Oromia.</w:t>
      </w:r>
      <w:r>
        <w:rPr>
          <w:rFonts w:hint="default"/>
          <w:szCs w:val="24"/>
          <w:lang w:val="en-GB"/>
        </w:rPr>
        <w:t xml:space="preserve"> </w:t>
      </w:r>
      <w:r>
        <w:rPr>
          <w:rFonts w:hint="default"/>
          <w:szCs w:val="24"/>
        </w:rPr>
        <w:t xml:space="preserve">“JUNIPr represents a shift in how we address malnutrition – moving from response to prevention, from fragmentation to integration,” said Dr. Bejoy Nambiar, UHC Cluster Lead, WHO. “Through this partnership, we can ensure no child suffers from wasting unnecessarily.” </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2234"/>
      <w:r>
        <w:rPr>
          <w:rFonts w:eastAsia="DengXian Light" w:cs="Times New Roman"/>
          <w:b/>
          <w:bCs/>
          <w:color w:val="2F5496"/>
          <w:szCs w:val="24"/>
          <w:u w:val="single"/>
        </w:rPr>
        <w:t>Horn of Africa</w:t>
      </w:r>
      <w:bookmarkEnd w:id="7"/>
    </w:p>
    <w:p w14:paraId="2226F01F">
      <w:pPr>
        <w:pStyle w:val="3"/>
        <w:rPr>
          <w:rFonts w:hint="default"/>
          <w:lang w:val="en-GB"/>
        </w:rPr>
      </w:pPr>
      <w:bookmarkStart w:id="8" w:name="_Toc13559"/>
      <w:r>
        <w:t>Somali</w:t>
      </w:r>
      <w:r>
        <w:rPr>
          <w:rFonts w:hint="default"/>
          <w:lang w:val="en-GB"/>
        </w:rPr>
        <w:t>land</w:t>
      </w:r>
      <w:bookmarkEnd w:id="8"/>
    </w:p>
    <w:p w14:paraId="76F4D21A">
      <w:pPr>
        <w:numPr>
          <w:ilvl w:val="0"/>
          <w:numId w:val="1"/>
        </w:numPr>
        <w:ind w:left="420" w:leftChars="0" w:hanging="420" w:firstLineChars="0"/>
        <w:rPr>
          <w:rFonts w:hint="default"/>
          <w:szCs w:val="24"/>
        </w:rPr>
      </w:pPr>
      <w:bookmarkStart w:id="9" w:name="_Toc28741"/>
      <w:r>
        <w:rPr>
          <w:rStyle w:val="15"/>
          <w:rFonts w:hint="default"/>
        </w:rPr>
        <w:t>Somaliland hails U.S. Senator Ted Cruz’s call for Trump to recognize independence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"https://addisstandard.com/somaliland-hails-u-s-senator-ted-cruzs-call-for-trump-to-recognize-independence/"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9EDC508">
      <w:pPr>
        <w:rPr>
          <w:rFonts w:hint="default"/>
          <w:szCs w:val="24"/>
        </w:rPr>
      </w:pPr>
      <w:r>
        <w:rPr>
          <w:rFonts w:hint="default"/>
          <w:szCs w:val="24"/>
        </w:rPr>
        <w:t>Somaliland officials and prominent figures have welcomed U.S. Senator Ted Cruz’s appeal to U.S. President Donald Trump to formally recognize the Republic of Somaliland as an independent state, calling it a major boost for their decades-long quest for recognition.</w:t>
      </w:r>
      <w:r>
        <w:rPr>
          <w:rFonts w:hint="default"/>
          <w:szCs w:val="24"/>
          <w:lang w:val="en-GB"/>
        </w:rPr>
        <w:t xml:space="preserve"> </w:t>
      </w:r>
      <w:r>
        <w:rPr>
          <w:rFonts w:hint="default"/>
          <w:szCs w:val="24"/>
        </w:rPr>
        <w:t>In a letter to President Trump, Sen. Ted Cruz, who chairs the Senate Foreign Relations Subcommittee on Africa and Global Health Policy, praised Somaliland as “a critical security and diplomatic partner for the United States” and urged the administration to “grant it that recognition.”</w:t>
      </w:r>
      <w:r>
        <w:rPr>
          <w:rFonts w:hint="default"/>
          <w:szCs w:val="24"/>
          <w:lang w:val="en-GB"/>
        </w:rPr>
        <w:t xml:space="preserve"> </w:t>
      </w:r>
      <w:r>
        <w:rPr>
          <w:rFonts w:hint="default"/>
          <w:szCs w:val="24"/>
        </w:rPr>
        <w:t>“Despite these threats, Somaliland remains committed to forging closer ties with the U.S., and is actively engaged in enhancing military cooperation, counterterrorism efforts, and economy and trade partnerships.”</w:t>
      </w:r>
      <w:r>
        <w:rPr>
          <w:rFonts w:hint="default"/>
          <w:szCs w:val="24"/>
          <w:lang w:val="en-GB"/>
        </w:rPr>
        <w:t xml:space="preserve"> </w:t>
      </w:r>
      <w:r>
        <w:rPr>
          <w:rFonts w:hint="default"/>
          <w:szCs w:val="24"/>
        </w:rPr>
        <w:t>Sen. Cruz</w:t>
      </w:r>
      <w:r>
        <w:rPr>
          <w:rFonts w:hint="default"/>
          <w:szCs w:val="24"/>
          <w:lang w:val="en-GB"/>
        </w:rPr>
        <w:t xml:space="preserve">. </w:t>
      </w:r>
      <w:r>
        <w:rPr>
          <w:rFonts w:hint="default"/>
          <w:szCs w:val="24"/>
        </w:rPr>
        <w:t>He cited Somaliland’s strategic location along the Gulf of Aden, capable armed forces, and contributions to counterterrorism and anti-piracy efforts, adding that “despite mounting pressure from adversaries” such as the Chinese Communist Party, Somaliland “remains committed to forging closer ties with the U.S.”</w:t>
      </w:r>
      <w:r>
        <w:rPr>
          <w:rFonts w:hint="default"/>
          <w:szCs w:val="24"/>
          <w:lang w:val="en-GB"/>
        </w:rPr>
        <w:t xml:space="preserve"> </w:t>
      </w:r>
      <w:r>
        <w:rPr>
          <w:rFonts w:hint="default"/>
          <w:szCs w:val="24"/>
        </w:rPr>
        <w:t>Abdirahman Dahir Adam, Somaliland’s minister of foreign affairs and international cooperation, expressed gratitude for Cruz’s intervention. “On behalf of the Republic of Somaliland, I extend my heartfelt thanks to [Sen. Ted Cruz] for his unwavering support for our recognition and for championing our cause to President Trump,” he said on X. He described the senator’s statement as reflecting “a deep appreciation of what we contribute to the U.S. and the World.”</w:t>
      </w:r>
      <w:r>
        <w:rPr>
          <w:rFonts w:hint="default"/>
          <w:szCs w:val="24"/>
          <w:lang w:val="en-GB"/>
        </w:rPr>
        <w:t xml:space="preserve"> </w:t>
      </w:r>
      <w:r>
        <w:rPr>
          <w:rFonts w:hint="default"/>
          <w:szCs w:val="24"/>
        </w:rPr>
        <w:t>Ismail Ahmed, founder of global money transfer service WorldRemit, likened the potential move to a landmark moment in U.S. foreign policy.</w:t>
      </w:r>
      <w:r>
        <w:rPr>
          <w:rFonts w:hint="default"/>
          <w:szCs w:val="24"/>
          <w:lang w:val="en-GB"/>
        </w:rPr>
        <w:t xml:space="preserve"> </w:t>
      </w:r>
      <w:r>
        <w:rPr>
          <w:rFonts w:hint="default"/>
          <w:szCs w:val="24"/>
        </w:rPr>
        <w:t>“Trump’s Panama Canal Moment,” he wrote on X. “Somaliland offers America exclusive access to Berbera’s port &amp; 4km airfield – a low-cost, high-impact foothold in one of the world’s most strategic corridors. In 1903, Roosevelt recognized Panama &amp; secured the canal. In 2025, Trump can recognize Somaliland &amp; secure the Red Sea.”</w:t>
      </w:r>
      <w:r>
        <w:rPr>
          <w:rFonts w:hint="default"/>
          <w:szCs w:val="24"/>
          <w:lang w:val="en-GB"/>
        </w:rPr>
        <w:t xml:space="preserve"> </w:t>
      </w:r>
      <w:r>
        <w:rPr>
          <w:rFonts w:hint="default"/>
          <w:szCs w:val="24"/>
        </w:rPr>
        <w:t>Sen. Cruz’s letter comes ahead of a planned visit by Somaliland President Abdirahman Mohamed Abdillahi Irro to the United States. This week, Minister Abdirahman confirmed to local media that the president will embark on an official trip in the coming days, as diplomatic momentum builds around the territory’s bid for international recognition.</w:t>
      </w:r>
      <w:r>
        <w:rPr>
          <w:rFonts w:hint="default"/>
          <w:szCs w:val="24"/>
          <w:lang w:val="en-GB"/>
        </w:rPr>
        <w:t xml:space="preserve"> </w:t>
      </w:r>
      <w:r>
        <w:rPr>
          <w:rFonts w:hint="default"/>
          <w:szCs w:val="24"/>
        </w:rPr>
        <w:t>President Irro is scheduled to hold high-level meetings in Washington, D.C., engaging with senior U.S. government officials, members of Congress, policy experts, and representatives from leading think tanks. According to the foreign minister, the discussions will focus on strengthening bilateral relations, boosting economic cooperation, and addressing regional security challenges in the Horn of Africa.</w:t>
      </w:r>
    </w:p>
    <w:p w14:paraId="29465CC6">
      <w:pPr>
        <w:rPr>
          <w:rFonts w:hint="default"/>
          <w:szCs w:val="24"/>
          <w:lang w:val="en-GB"/>
        </w:rPr>
      </w:pPr>
      <w:r>
        <w:rPr>
          <w:rFonts w:hint="default"/>
          <w:szCs w:val="24"/>
          <w:lang w:val="en-GB"/>
        </w:rPr>
        <w:t>________________________________________________________________________</w:t>
      </w:r>
    </w:p>
    <w:p w14:paraId="5EE854EA">
      <w:pPr>
        <w:pStyle w:val="3"/>
        <w:bidi w:val="0"/>
        <w:rPr>
          <w:rFonts w:hint="default"/>
          <w:lang w:val="en-GB"/>
        </w:rPr>
      </w:pPr>
      <w:bookmarkStart w:id="10" w:name="_Toc29910"/>
      <w:r>
        <w:rPr>
          <w:rFonts w:hint="default"/>
          <w:lang w:val="en-GB"/>
        </w:rPr>
        <w:t>Somalia</w:t>
      </w:r>
      <w:bookmarkEnd w:id="10"/>
    </w:p>
    <w:p w14:paraId="382208E1">
      <w:pPr>
        <w:numPr>
          <w:ilvl w:val="0"/>
          <w:numId w:val="1"/>
        </w:numPr>
        <w:ind w:left="420" w:leftChars="0" w:hanging="420" w:firstLineChars="0"/>
        <w:rPr>
          <w:rFonts w:hint="default"/>
          <w:szCs w:val="24"/>
        </w:rPr>
      </w:pPr>
      <w:bookmarkStart w:id="11" w:name="_Toc23909"/>
      <w:r>
        <w:rPr>
          <w:rStyle w:val="15"/>
          <w:rFonts w:hint="default"/>
        </w:rPr>
        <w:t>Somali forces take control of disputed Mogadishu land after clashes</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"https://www.hiiraan.com/news4/2025/Aug/202562/somali_forces_take_control_of_disputed_mogadishu_land_after_clashes.aspx?utm_source=hiiraan&amp;utm_medium=SomaliNewsUpdateFront"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6DF7DFC">
      <w:pPr>
        <w:rPr>
          <w:rFonts w:hint="default"/>
          <w:szCs w:val="24"/>
        </w:rPr>
      </w:pPr>
      <w:r>
        <w:rPr>
          <w:rFonts w:hint="default"/>
          <w:szCs w:val="24"/>
        </w:rPr>
        <w:t>Somali security forces have taken full control of an area near Tarabuunka junction in Mogadishu on Thursday after clashes with armed soldiers opposing the federal government’s plan to reclaim land occupied by civilians for more than three decades.</w:t>
      </w:r>
      <w:r>
        <w:rPr>
          <w:rFonts w:hint="default"/>
          <w:szCs w:val="24"/>
          <w:lang w:val="en-GB"/>
        </w:rPr>
        <w:t xml:space="preserve"> </w:t>
      </w:r>
      <w:r>
        <w:rPr>
          <w:rFonts w:hint="default"/>
          <w:szCs w:val="24"/>
        </w:rPr>
        <w:t>In a statement, the Somali Police said the operation was aimed at enhancing security and combating illegal weapons in the Banadir region.</w:t>
      </w:r>
      <w:r>
        <w:rPr>
          <w:rFonts w:hint="default"/>
          <w:szCs w:val="24"/>
          <w:lang w:val="en-GB"/>
        </w:rPr>
        <w:t xml:space="preserve"> </w:t>
      </w:r>
      <w:r>
        <w:rPr>
          <w:rFonts w:hint="default"/>
          <w:szCs w:val="24"/>
        </w:rPr>
        <w:t>“This act, which violated the security regulations of the capital, resulted in civilian deaths and injuries, as well as casualties among security personnel and members of the armed militia,” the statement said.</w:t>
      </w:r>
      <w:r>
        <w:rPr>
          <w:rFonts w:hint="default"/>
          <w:szCs w:val="24"/>
          <w:lang w:val="en-GB"/>
        </w:rPr>
        <w:t xml:space="preserve"> </w:t>
      </w:r>
      <w:r>
        <w:rPr>
          <w:rFonts w:hint="default"/>
          <w:szCs w:val="24"/>
        </w:rPr>
        <w:t>Police confirmed that forces had stabilized the area in Hodan district and implemented measures to maintain security. Authorities also issued a stern warning to those supporting activities that threaten public safety in Mogadishu.</w:t>
      </w:r>
      <w:r>
        <w:rPr>
          <w:rFonts w:hint="default"/>
          <w:szCs w:val="24"/>
          <w:lang w:val="en-GB"/>
        </w:rPr>
        <w:t xml:space="preserve"> </w:t>
      </w:r>
      <w:r>
        <w:rPr>
          <w:rFonts w:hint="default"/>
          <w:szCs w:val="24"/>
        </w:rPr>
        <w:t>No official casualty figures have been released.</w:t>
      </w:r>
      <w:r>
        <w:rPr>
          <w:rFonts w:hint="default"/>
          <w:szCs w:val="24"/>
          <w:lang w:val="en-GB"/>
        </w:rPr>
        <w:t xml:space="preserve"> </w:t>
      </w:r>
      <w:r>
        <w:rPr>
          <w:rFonts w:hint="default"/>
          <w:szCs w:val="24"/>
        </w:rPr>
        <w:t>The fighting erupted at Horseed Stadium, near Tarabuunka junction, a former headquarters of the Somali Military Football Team. Residents began fleeing as gunfire continued.</w:t>
      </w:r>
      <w:r>
        <w:rPr>
          <w:rFonts w:hint="default"/>
          <w:szCs w:val="24"/>
          <w:lang w:val="en-GB"/>
        </w:rPr>
        <w:t xml:space="preserve"> </w:t>
      </w:r>
      <w:r>
        <w:rPr>
          <w:rFonts w:hint="default"/>
          <w:szCs w:val="24"/>
        </w:rPr>
        <w:t>The dispute follows a government order issued several months ago instructing residents to vacate Horseed Stadium for a redevelopment project — a move met with resistance, leading to the confrontation.</w:t>
      </w:r>
    </w:p>
    <w:p w14:paraId="69D4C8DE">
      <w:pPr>
        <w:numPr>
          <w:ilvl w:val="0"/>
          <w:numId w:val="1"/>
        </w:numPr>
        <w:ind w:left="420" w:leftChars="0" w:hanging="420" w:firstLineChars="0"/>
        <w:rPr>
          <w:rFonts w:hint="default"/>
          <w:szCs w:val="24"/>
        </w:rPr>
      </w:pPr>
      <w:bookmarkStart w:id="12" w:name="_Toc13287"/>
      <w:r>
        <w:rPr>
          <w:rStyle w:val="15"/>
          <w:rFonts w:hint="default"/>
        </w:rPr>
        <w:t>Somali Defense leaders, new AUSSOM chief pledge to intensify fight against al-Shabaab</w:t>
      </w:r>
      <w:r>
        <w:rPr>
          <w:rStyle w:val="15"/>
          <w:rFonts w:hint="default"/>
          <w:lang w:val="en-GB"/>
        </w:rPr>
        <w:t xml:space="preserve"> </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"https://www.hiiraan.com/news4/2025/Aug/202550/somali_defense_leaders_new_aussom_chief_pledge_to_intensify_fight_against_al_shabaab.aspx?utm_source=hiiraan&amp;utm_medium=SomaliNewsUpdateFront"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93B2E0F">
      <w:pPr>
        <w:rPr>
          <w:rFonts w:hint="default"/>
          <w:szCs w:val="24"/>
        </w:rPr>
      </w:pPr>
      <w:r>
        <w:rPr>
          <w:rFonts w:hint="default"/>
          <w:szCs w:val="24"/>
        </w:rPr>
        <w:t>Somalia’s defense minister and army chief have agreed with the head of the African Union Support and Stabilization Mission in Somalia (AUSSOM) to strengthen coordination and accelerate military operations against al-Shabaab across the country.</w:t>
      </w:r>
      <w:r>
        <w:rPr>
          <w:rFonts w:hint="default"/>
          <w:szCs w:val="24"/>
          <w:lang w:val="en-GB"/>
        </w:rPr>
        <w:t xml:space="preserve"> </w:t>
      </w:r>
      <w:r>
        <w:rPr>
          <w:rFonts w:hint="default"/>
          <w:szCs w:val="24"/>
        </w:rPr>
        <w:t>Defense Minister Ahmed Macalin Fiqi and Somali National Army Commander Maj. Gen. Odowaa Yusuf Raage met Monday in Mogadishu with AUSSOM head Ambassador El Hadji Ibrahima Diene and other mission officials on Tuesday. Discussions focused on implementing Somalia’s security transition plan and doubling operations against the al-Qaeda-linked insurgents in multiple regions.</w:t>
      </w:r>
      <w:r>
        <w:rPr>
          <w:rFonts w:hint="default"/>
          <w:szCs w:val="24"/>
          <w:lang w:val="en-GB"/>
        </w:rPr>
        <w:t xml:space="preserve"> </w:t>
      </w:r>
      <w:r>
        <w:rPr>
          <w:rFonts w:hint="default"/>
          <w:szCs w:val="24"/>
        </w:rPr>
        <w:t>Fiqi thanked AUSSOM for its role in supporting Somalia’s security and stabilization efforts. Ambassador Diene, who took up his post only days ago, pledged that the mission would “accelerate the fight against al-Shabaab and eliminate it from Somalia as a whole.”</w:t>
      </w:r>
      <w:r>
        <w:rPr>
          <w:rFonts w:hint="default"/>
          <w:szCs w:val="24"/>
          <w:lang w:val="en-GB"/>
        </w:rPr>
        <w:t xml:space="preserve"> </w:t>
      </w:r>
      <w:r>
        <w:rPr>
          <w:rFonts w:hint="default"/>
          <w:szCs w:val="24"/>
        </w:rPr>
        <w:t>The meeting came shortly after Somali forces, backed by Ugandan troops from the African Union Transition Mission in Somalia (ATMIS), recaptured the strategic town of Bariire in the Lower Shabelle region from al-Shabaab.</w:t>
      </w:r>
      <w:r>
        <w:rPr>
          <w:rFonts w:hint="default"/>
          <w:szCs w:val="24"/>
          <w:lang w:val="en-GB"/>
        </w:rPr>
        <w:t xml:space="preserve"> </w:t>
      </w:r>
      <w:r>
        <w:rPr>
          <w:rFonts w:hint="default"/>
          <w:szCs w:val="24"/>
        </w:rPr>
        <w:t>The militant group has been waging an armed campaign in Somalia since 2007, targeting government forces, African Union troops, and civilians with suicide bombings, assassinations, and armed assaults.</w:t>
      </w:r>
    </w:p>
    <w:p w14:paraId="287E5054">
      <w:r>
        <w:rPr>
          <w:szCs w:val="24"/>
        </w:rPr>
        <w:t>________________________________________________________________________</w:t>
      </w:r>
    </w:p>
    <w:p w14:paraId="10DC5F8A">
      <w:pPr>
        <w:pStyle w:val="3"/>
        <w:spacing w:line="276" w:lineRule="auto"/>
        <w:rPr>
          <w:szCs w:val="24"/>
        </w:rPr>
      </w:pPr>
      <w:bookmarkStart w:id="13" w:name="_Toc26369"/>
      <w:r>
        <w:rPr>
          <w:szCs w:val="24"/>
        </w:rPr>
        <w:t>Sudan</w:t>
      </w:r>
      <w:bookmarkEnd w:id="13"/>
      <w:r>
        <w:rPr>
          <w:szCs w:val="24"/>
        </w:rPr>
        <w:t xml:space="preserve"> </w:t>
      </w:r>
    </w:p>
    <w:p w14:paraId="2D578A5B">
      <w:pPr>
        <w:numPr>
          <w:ilvl w:val="0"/>
          <w:numId w:val="1"/>
        </w:numPr>
        <w:spacing w:line="276" w:lineRule="auto"/>
        <w:ind w:left="420" w:leftChars="0" w:hanging="420" w:firstLineChars="0"/>
        <w:rPr>
          <w:rFonts w:hint="default"/>
        </w:rPr>
      </w:pPr>
      <w:bookmarkStart w:id="14" w:name="_Toc13380"/>
      <w:r>
        <w:rPr>
          <w:rStyle w:val="15"/>
          <w:rFonts w:hint="default"/>
        </w:rPr>
        <w:t>U.N. says Sudan famine has spread ‘catastrophically’ one year on</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"https://sudantribune.com/article303940/" </w:instrText>
      </w:r>
      <w:r>
        <w:rPr>
          <w:rFonts w:hint="default"/>
          <w:lang w:val="en-GB"/>
        </w:rPr>
        <w:fldChar w:fldCharType="separate"/>
      </w:r>
      <w:r>
        <w:rPr>
          <w:rStyle w:val="10"/>
          <w:rFonts w:hint="default"/>
          <w:lang w:val="en-GB"/>
        </w:rPr>
        <w:t>Sudan Tribune</w:t>
      </w:r>
      <w:r>
        <w:rPr>
          <w:rFonts w:hint="default"/>
          <w:lang w:val="en-GB"/>
        </w:rPr>
        <w:fldChar w:fldCharType="end"/>
      </w:r>
    </w:p>
    <w:p w14:paraId="54EA3923">
      <w:pPr>
        <w:spacing w:line="276" w:lineRule="auto"/>
        <w:rPr>
          <w:rFonts w:hint="default"/>
        </w:rPr>
      </w:pPr>
      <w:r>
        <w:rPr>
          <w:rFonts w:hint="default"/>
        </w:rPr>
        <w:t>A year after famine was first declared in Sudan, the United Nations warned on Wednesday that the crisis has spread catastrophically, with 17 areas now at risk and the besieged city of El Fasher facing starvation, a spokesman said.</w:t>
      </w:r>
      <w:r>
        <w:rPr>
          <w:rFonts w:hint="default"/>
          <w:lang w:val="en-GB"/>
        </w:rPr>
        <w:t xml:space="preserve"> </w:t>
      </w:r>
      <w:r>
        <w:rPr>
          <w:rFonts w:hint="default"/>
        </w:rPr>
        <w:t>The warning marks a significant deterioration since famine was officially confirmed in the Zamzam displacement camp in August 2024.</w:t>
      </w:r>
      <w:r>
        <w:rPr>
          <w:rFonts w:hint="default"/>
          <w:lang w:val="en-GB"/>
        </w:rPr>
        <w:t xml:space="preserve"> </w:t>
      </w:r>
      <w:r>
        <w:rPr>
          <w:rFonts w:hint="default"/>
        </w:rPr>
        <w:t>“The famine has since spread to areas in Darfur and Kordofan,” U.N. spokesman Stéphane Dujarric told reporters, adding that at-risk zones now include parts of the Nuba Mountains, Khartoum and Gezira.</w:t>
      </w:r>
      <w:r>
        <w:rPr>
          <w:rFonts w:hint="default"/>
          <w:lang w:val="en-GB"/>
        </w:rPr>
        <w:t xml:space="preserve"> </w:t>
      </w:r>
      <w:r>
        <w:rPr>
          <w:rFonts w:hint="default"/>
        </w:rPr>
        <w:t>The situation is particularly dire in El Fasher, the capital of North Darfur, which remains cut off from aid. The U.N.’s World Food Programme (WFP) has called for immediate humanitarian access to the city.</w:t>
      </w:r>
      <w:r>
        <w:rPr>
          <w:rFonts w:hint="default"/>
          <w:lang w:val="en-GB"/>
        </w:rPr>
        <w:t xml:space="preserve"> </w:t>
      </w:r>
      <w:r>
        <w:rPr>
          <w:rFonts w:hint="default"/>
        </w:rPr>
        <w:t>While the WFP provides digital cash support to approximately a quarter of a million people in El Fasher, allowing them to purchase food from depleted local markets, the U.N. stated that the aid is insufficient.</w:t>
      </w:r>
      <w:r>
        <w:rPr>
          <w:rFonts w:hint="default"/>
          <w:lang w:val="en-GB"/>
        </w:rPr>
        <w:t xml:space="preserve"> </w:t>
      </w:r>
      <w:r>
        <w:rPr>
          <w:rFonts w:hint="default"/>
        </w:rPr>
        <w:t>“The escalating needs make it imperative to address hunger at scale,” Dujarric said.</w:t>
      </w:r>
      <w:r>
        <w:rPr>
          <w:rFonts w:hint="default"/>
          <w:lang w:val="en-GB"/>
        </w:rPr>
        <w:t xml:space="preserve"> </w:t>
      </w:r>
      <w:r>
        <w:rPr>
          <w:rFonts w:hint="default"/>
        </w:rPr>
        <w:t>He reiterated that the ongoing conflict is the root cause of the crisis and renewed the U.N.’s appeal to the warring parties.</w:t>
      </w:r>
      <w:r>
        <w:rPr>
          <w:rFonts w:hint="default"/>
          <w:lang w:val="en-GB"/>
        </w:rPr>
        <w:t xml:space="preserve"> </w:t>
      </w:r>
      <w:r>
        <w:rPr>
          <w:rFonts w:hint="default"/>
        </w:rPr>
        <w:t>“We renew our calls for all parties to end the violence, resolve to dialogue and to put the interest of their people first,” Dujarric said.</w:t>
      </w:r>
    </w:p>
    <w:p w14:paraId="7B2239C2">
      <w:pPr>
        <w:numPr>
          <w:ilvl w:val="0"/>
          <w:numId w:val="1"/>
        </w:numPr>
        <w:spacing w:line="276" w:lineRule="auto"/>
        <w:ind w:left="420" w:leftChars="0" w:hanging="420" w:firstLineChars="0"/>
        <w:rPr>
          <w:rFonts w:hint="default"/>
        </w:rPr>
      </w:pPr>
      <w:bookmarkStart w:id="15" w:name="_Toc14713"/>
      <w:r>
        <w:rPr>
          <w:rStyle w:val="15"/>
          <w:rFonts w:hint="default"/>
        </w:rPr>
        <w:t>UN rejects Sudanese paramilitary plans to form rival government</w:t>
      </w:r>
      <w:r>
        <w:rPr>
          <w:rStyle w:val="15"/>
          <w:rFonts w:hint="default"/>
          <w:lang w:val="en-GB"/>
        </w:rPr>
        <w:t xml:space="preserve"> </w:t>
      </w:r>
      <w:bookmarkEnd w:id="15"/>
      <w:r>
        <w:rPr>
          <w:rFonts w:hint="default"/>
          <w:lang w:val="en-GB"/>
        </w:rPr>
        <w:t xml:space="preserve">- </w:t>
      </w:r>
      <w:r>
        <w:rPr>
          <w:rFonts w:hint="default"/>
          <w:lang w:val="en-GB"/>
        </w:rPr>
        <w:fldChar w:fldCharType="begin"/>
      </w:r>
      <w:r>
        <w:rPr>
          <w:rFonts w:hint="default"/>
          <w:lang w:val="en-GB"/>
        </w:rPr>
        <w:instrText xml:space="preserve"> HYPERLINK "https://www.middleeastmonitor.com/20250814-un-rejects-sudanese-paramilitary-plans-to-form-rival-government/" </w:instrText>
      </w:r>
      <w:r>
        <w:rPr>
          <w:rFonts w:hint="default"/>
          <w:lang w:val="en-GB"/>
        </w:rPr>
        <w:fldChar w:fldCharType="separate"/>
      </w:r>
      <w:r>
        <w:rPr>
          <w:rStyle w:val="10"/>
          <w:rFonts w:hint="default"/>
          <w:lang w:val="en-GB"/>
        </w:rPr>
        <w:t>Sudan Tribune</w:t>
      </w:r>
      <w:r>
        <w:rPr>
          <w:rFonts w:hint="default"/>
          <w:lang w:val="en-GB"/>
        </w:rPr>
        <w:fldChar w:fldCharType="end"/>
      </w:r>
    </w:p>
    <w:p w14:paraId="001963A1">
      <w:pPr>
        <w:spacing w:line="276" w:lineRule="auto"/>
        <w:rPr>
          <w:rFonts w:hint="default"/>
        </w:rPr>
      </w:pPr>
      <w:r>
        <w:rPr>
          <w:rFonts w:hint="default"/>
        </w:rPr>
        <w:t>The United Nations Security Council on Wednesday rejected plans by Sudan’s Rapid Support Forces (RSF) to set up a rival government in areas under their control, warning that the move threatens the country’s unity and risks worsening the ongoing civil war.</w:t>
      </w:r>
      <w:r>
        <w:rPr>
          <w:rFonts w:hint="default"/>
          <w:lang w:val="en-GB"/>
        </w:rPr>
        <w:t xml:space="preserve"> </w:t>
      </w:r>
      <w:r>
        <w:rPr>
          <w:rFonts w:hint="default"/>
        </w:rPr>
        <w:t>In a strong statement, the UN’s most powerful body “unequivocally reaffirmed” its commitment to Sudan’s sovereignty, independence and unity. The statement added that any steps to undermine these principles “threaten not only Sudan’s future, but also peace and stability of the broader region.”</w:t>
      </w:r>
      <w:r>
        <w:rPr>
          <w:rFonts w:hint="default"/>
          <w:lang w:val="en-GB"/>
        </w:rPr>
        <w:t xml:space="preserve"> </w:t>
      </w:r>
      <w:r>
        <w:rPr>
          <w:rFonts w:hint="default"/>
        </w:rPr>
        <w:t>The 15-member council said the RSF’s announcement also risks “fragmenting the country and worsening an already dire humanitarian situation.”</w:t>
      </w:r>
      <w:r>
        <w:rPr>
          <w:rFonts w:hint="default"/>
          <w:lang w:val="en-GB"/>
        </w:rPr>
        <w:t xml:space="preserve"> </w:t>
      </w:r>
      <w:r>
        <w:rPr>
          <w:rFonts w:hint="default"/>
        </w:rPr>
        <w:t>Sudan plunged into conflict in mid-April 2023 when long-standing tensions between the country’s military leaders and paramilitary commanders erupted in the capital, Khartoum, and spread to other regions, including West Darfur. UN agencies report that around 40,000 people have been killed, nearly 13 million displaced, and large numbers of citizens pushed to the brink of famine.</w:t>
      </w:r>
    </w:p>
    <w:p w14:paraId="59B1A24D">
      <w:pPr>
        <w:numPr>
          <w:ilvl w:val="0"/>
          <w:numId w:val="1"/>
        </w:numPr>
        <w:spacing w:line="276" w:lineRule="auto"/>
        <w:ind w:left="420" w:leftChars="0" w:hanging="420" w:firstLineChars="0"/>
        <w:rPr>
          <w:rFonts w:hint="default"/>
        </w:rPr>
      </w:pPr>
      <w:bookmarkStart w:id="16" w:name="_Toc16590"/>
      <w:r>
        <w:rPr>
          <w:rStyle w:val="15"/>
          <w:rFonts w:hint="default"/>
        </w:rPr>
        <w:t>Sudan army chief rules out reconciliation with Rapid Support Forces</w:t>
      </w:r>
      <w:bookmarkEnd w:id="16"/>
      <w:r>
        <w:rPr>
          <w:rFonts w:hint="default"/>
          <w:lang w:val="en-GB"/>
        </w:rPr>
        <w:t xml:space="preserve"> - </w:t>
      </w:r>
      <w:r>
        <w:rPr>
          <w:rFonts w:hint="default"/>
          <w:lang w:val="en-GB"/>
        </w:rPr>
        <w:fldChar w:fldCharType="begin"/>
      </w:r>
      <w:r>
        <w:rPr>
          <w:rFonts w:hint="default"/>
          <w:lang w:val="en-GB"/>
        </w:rPr>
        <w:instrText xml:space="preserve"> HYPERLINK "https://www.middleeastmonitor.com/20250815-sudan-army-chief-rules-out-reconciliation-with-rapid-support-forces/"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963814B">
      <w:pPr>
        <w:spacing w:line="276" w:lineRule="auto"/>
        <w:rPr>
          <w:rFonts w:hint="default"/>
        </w:rPr>
      </w:pPr>
      <w:r>
        <w:rPr>
          <w:rFonts w:hint="default"/>
        </w:rPr>
        <w:t>Sudan’s army chief and de facto ruler, Abdel Fattah al-Burhan, on Thursday ruled out any reconciliation with the Rapid Support Forces (RSF), with whom his forces have been fighting for more than two years.</w:t>
      </w:r>
      <w:r>
        <w:rPr>
          <w:rFonts w:hint="default"/>
          <w:lang w:val="en-GB"/>
        </w:rPr>
        <w:t xml:space="preserve"> </w:t>
      </w:r>
      <w:r>
        <w:rPr>
          <w:rFonts w:hint="default"/>
        </w:rPr>
        <w:t>The United States appears to be stepping up diplomatic efforts to end the conflict, which the United Nations has described as “the world’s worst humanitarian crisis”.</w:t>
      </w:r>
      <w:r>
        <w:rPr>
          <w:rFonts w:hint="default"/>
          <w:lang w:val="en-GB"/>
        </w:rPr>
        <w:t xml:space="preserve"> </w:t>
      </w:r>
      <w:r>
        <w:rPr>
          <w:rFonts w:hint="default"/>
        </w:rPr>
        <w:t>Speaking at an event marking the centenary of the Sudanese Armed Forces, al-Burhan renewed his pledge to “continue the battle for dignity, defeat the rebellion, and refuse reconciliation, whatever the cost”.</w:t>
      </w:r>
      <w:r>
        <w:rPr>
          <w:rFonts w:hint="default"/>
          <w:lang w:val="en-GB"/>
        </w:rPr>
        <w:t xml:space="preserve"> </w:t>
      </w:r>
      <w:r>
        <w:rPr>
          <w:rFonts w:hint="default"/>
        </w:rPr>
        <w:t>His remarks came just days after a meeting in Switzerland on Monday with Masaad Boulos, senior adviser to the US president for Africa.</w:t>
      </w:r>
      <w:r>
        <w:rPr>
          <w:rFonts w:hint="default"/>
          <w:lang w:val="en-GB"/>
        </w:rPr>
        <w:t xml:space="preserve"> </w:t>
      </w:r>
      <w:r>
        <w:rPr>
          <w:rFonts w:hint="default"/>
        </w:rPr>
        <w:t>A Sudanese government source said the two discussed a US proposal for a “comprehensive ceasefire” and “delivery of humanitarian aid”.</w:t>
      </w:r>
      <w:r>
        <w:rPr>
          <w:rFonts w:hint="default"/>
          <w:lang w:val="en-GB"/>
        </w:rPr>
        <w:t xml:space="preserve"> </w:t>
      </w:r>
      <w:r>
        <w:rPr>
          <w:rFonts w:hint="default"/>
        </w:rPr>
        <w:t>So far, mediation efforts led by Washington and Riyadh have failed to achieve a ceasefire in Sudan.</w:t>
      </w:r>
    </w:p>
    <w:p w14:paraId="2F9F7881">
      <w:pPr>
        <w:numPr>
          <w:ilvl w:val="0"/>
          <w:numId w:val="1"/>
        </w:numPr>
        <w:spacing w:line="276" w:lineRule="auto"/>
        <w:ind w:left="420" w:leftChars="0" w:hanging="420" w:firstLineChars="0"/>
        <w:rPr>
          <w:rFonts w:hint="default"/>
        </w:rPr>
      </w:pPr>
      <w:bookmarkStart w:id="17" w:name="_Toc3106"/>
      <w:r>
        <w:rPr>
          <w:rStyle w:val="15"/>
          <w:rFonts w:hint="default"/>
        </w:rPr>
        <w:t>Sudan army airstrike hits RSF-held building in Darfur, dozens injured, officials say</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"https://sudantribune.com/article303925/" </w:instrText>
      </w:r>
      <w:r>
        <w:rPr>
          <w:rFonts w:hint="default"/>
          <w:lang w:val="en-GB"/>
        </w:rPr>
        <w:fldChar w:fldCharType="separate"/>
      </w:r>
      <w:r>
        <w:rPr>
          <w:rStyle w:val="10"/>
          <w:rFonts w:hint="default"/>
          <w:lang w:val="en-GB"/>
        </w:rPr>
        <w:t>Sudan Tribune</w:t>
      </w:r>
      <w:r>
        <w:rPr>
          <w:rFonts w:hint="default"/>
          <w:lang w:val="en-GB"/>
        </w:rPr>
        <w:fldChar w:fldCharType="end"/>
      </w:r>
    </w:p>
    <w:p w14:paraId="357B2761">
      <w:pPr>
        <w:spacing w:line="276" w:lineRule="auto"/>
        <w:rPr>
          <w:rFonts w:hint="default"/>
        </w:rPr>
      </w:pPr>
      <w:r>
        <w:rPr>
          <w:rFonts w:hint="default"/>
        </w:rPr>
        <w:t>A Sudanese army airstrike on Wednesday hit a government ministry building in El Daein, the capital of East Darfur state, injuring dozens of employees and civilians, according to officials from the paramilitary Rapid Support Forces (RSF), which controls the city.</w:t>
      </w:r>
      <w:r>
        <w:rPr>
          <w:rFonts w:hint="default"/>
          <w:lang w:val="en-GB"/>
        </w:rPr>
        <w:t xml:space="preserve"> </w:t>
      </w:r>
      <w:r>
        <w:rPr>
          <w:rFonts w:hint="default"/>
        </w:rPr>
        <w:t>The strike sparked panic in the city. Eyewitnesses reported seeing a high-altitude aircraft, likely a drone, launch missiles that caused powerful explosions and sent plumes of smoke into the air.</w:t>
      </w:r>
      <w:r>
        <w:rPr>
          <w:rFonts w:hint="default"/>
          <w:lang w:val="en-GB"/>
        </w:rPr>
        <w:t xml:space="preserve"> </w:t>
      </w:r>
      <w:r>
        <w:rPr>
          <w:rFonts w:hint="default"/>
        </w:rPr>
        <w:t>In a statement, Mashaer Mohamed al-Nourein, a spokeswoman for the RSF’s civilian administration, said the strike caused the “complete destruction” of the Ministry of Urban Planning. She condemned the attack as a “brutal” act targeting civilian infrastructure and called on the international community to pressure the army to stop.</w:t>
      </w:r>
      <w:r>
        <w:rPr>
          <w:rFonts w:hint="default"/>
          <w:lang w:val="en-GB"/>
        </w:rPr>
        <w:t xml:space="preserve"> </w:t>
      </w:r>
      <w:r>
        <w:rPr>
          <w:rFonts w:hint="default"/>
        </w:rPr>
        <w:t>East Darfur has been under RSF control since the early months of the war that erupted between the paramilitary group and Sudan’s army in April 2023. The RSF has established its own civilian administrations in territories it holds.</w:t>
      </w:r>
      <w:r>
        <w:rPr>
          <w:rFonts w:hint="default"/>
          <w:lang w:val="en-GB"/>
        </w:rPr>
        <w:t xml:space="preserve"> </w:t>
      </w:r>
      <w:r>
        <w:rPr>
          <w:rFonts w:hint="default"/>
        </w:rPr>
        <w:t>El Daein is a stronghold of the Rizeigat Arab tribe, from which the RSF’s leadership and many of its fighters are drawn. The city has faced similar army airstrikes, including one in March that hit the main local government headquarters used by the RSF to manage civilian affairs.</w:t>
      </w:r>
    </w:p>
    <w:p w14:paraId="3C245737">
      <w:pPr>
        <w:spacing w:line="276" w:lineRule="auto"/>
      </w:pPr>
      <w:r>
        <w:t>________________________________________________________________________</w:t>
      </w:r>
    </w:p>
    <w:p w14:paraId="59329CA4">
      <w:pPr>
        <w:pStyle w:val="3"/>
        <w:spacing w:line="276" w:lineRule="auto"/>
      </w:pPr>
      <w:bookmarkStart w:id="18" w:name="_Toc21402"/>
      <w:r>
        <w:t>South Sudan</w:t>
      </w:r>
      <w:bookmarkEnd w:id="18"/>
    </w:p>
    <w:p w14:paraId="471AA0CE">
      <w:pPr>
        <w:numPr>
          <w:ilvl w:val="0"/>
          <w:numId w:val="1"/>
        </w:numPr>
        <w:spacing w:line="276" w:lineRule="auto"/>
        <w:ind w:left="420" w:leftChars="0" w:hanging="420" w:firstLineChars="0"/>
        <w:rPr>
          <w:rFonts w:hint="default"/>
        </w:rPr>
      </w:pPr>
      <w:bookmarkStart w:id="19" w:name="_Toc22668"/>
      <w:r>
        <w:rPr>
          <w:rStyle w:val="15"/>
          <w:rFonts w:hint="default"/>
        </w:rPr>
        <w:t>Israeli minister in South Sudan denies Palestinian resettlement talks</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"https://sudantribune.com/article303934/" </w:instrText>
      </w:r>
      <w:r>
        <w:rPr>
          <w:rFonts w:hint="default"/>
          <w:lang w:val="en-GB"/>
        </w:rPr>
        <w:fldChar w:fldCharType="separate"/>
      </w:r>
      <w:r>
        <w:rPr>
          <w:rStyle w:val="10"/>
          <w:rFonts w:hint="default"/>
          <w:lang w:val="en-GB"/>
        </w:rPr>
        <w:t>Sudan Tribune</w:t>
      </w:r>
      <w:r>
        <w:rPr>
          <w:rFonts w:hint="default"/>
          <w:lang w:val="en-GB"/>
        </w:rPr>
        <w:fldChar w:fldCharType="end"/>
      </w:r>
    </w:p>
    <w:p w14:paraId="0D484501">
      <w:pPr>
        <w:spacing w:line="276" w:lineRule="auto"/>
      </w:pPr>
      <w:r>
        <w:rPr>
          <w:rFonts w:hint="default"/>
        </w:rPr>
        <w:t>A visiting Israeli deputy minister on Wednesday denied reports that her country was in talks with South Sudan to accept Palestinians resettled from Gaza, following a social media backlash against the alleged plan in the African nation.</w:t>
      </w:r>
      <w:r>
        <w:rPr>
          <w:rFonts w:hint="default"/>
          <w:lang w:val="en-GB"/>
        </w:rPr>
        <w:t xml:space="preserve"> </w:t>
      </w:r>
      <w:r>
        <w:rPr>
          <w:rFonts w:hint="default"/>
        </w:rPr>
        <w:t>The reports drew condemnation online, with some users calling any such decision unacceptable and made without public consultation.</w:t>
      </w:r>
      <w:r>
        <w:rPr>
          <w:rFonts w:hint="default"/>
          <w:lang w:val="en-GB"/>
        </w:rPr>
        <w:t xml:space="preserve"> </w:t>
      </w:r>
      <w:r>
        <w:rPr>
          <w:rFonts w:hint="default"/>
        </w:rPr>
        <w:t>Deputy Foreign Minister Sharren Haskel said the issue was not part of her visit to Juba.</w:t>
      </w:r>
      <w:r>
        <w:rPr>
          <w:rFonts w:hint="default"/>
          <w:lang w:val="en-GB"/>
        </w:rPr>
        <w:t xml:space="preserve"> </w:t>
      </w:r>
      <w:r>
        <w:rPr>
          <w:rFonts w:hint="default"/>
        </w:rPr>
        <w:t>“This was not on the agenda of our visit. There has been no conversation between our ministry and officials in the government of South Sudan,” Haskel told reporters.</w:t>
      </w:r>
      <w:r>
        <w:rPr>
          <w:rFonts w:hint="default"/>
          <w:lang w:val="en-GB"/>
        </w:rPr>
        <w:t xml:space="preserve"> </w:t>
      </w:r>
      <w:r>
        <w:rPr>
          <w:rFonts w:hint="default"/>
        </w:rPr>
        <w:t>She acknowledged broader efforts to find countries willing to accept Palestinians who want to leave Gaza but insisted South Sudan was not part of any such discussion.</w:t>
      </w:r>
      <w:r>
        <w:rPr>
          <w:rFonts w:hint="default"/>
          <w:lang w:val="en-GB"/>
        </w:rPr>
        <w:t xml:space="preserve"> </w:t>
      </w:r>
      <w:r>
        <w:rPr>
          <w:rFonts w:hint="default"/>
        </w:rPr>
        <w:t>“Our visit is on a bilateral matter, and it will open dialogue and cooperation in various fields in healthcare, energy, security and agriculture,” she added.</w:t>
      </w:r>
      <w:r>
        <w:rPr>
          <w:rFonts w:hint="default"/>
          <w:lang w:val="en-GB"/>
        </w:rPr>
        <w:t xml:space="preserve"> </w:t>
      </w:r>
      <w:r>
        <w:rPr>
          <w:rFonts w:hint="default"/>
        </w:rPr>
        <w:t>The reports also drew a sharp reaction from local civil society groups.</w:t>
      </w:r>
      <w:r>
        <w:rPr>
          <w:rFonts w:hint="default"/>
          <w:lang w:val="en-GB"/>
        </w:rPr>
        <w:t xml:space="preserve"> </w:t>
      </w:r>
      <w:r>
        <w:rPr>
          <w:rFonts w:hint="default"/>
        </w:rPr>
        <w:t>“South Sudan is not a dumping ground,” said Edmund Yakani, executive director of the Community Empowerment for Progress Organization (CEPO), a prominent advocacy group.</w:t>
      </w:r>
      <w:r>
        <w:rPr>
          <w:rFonts w:hint="default"/>
          <w:lang w:val="en-GB"/>
        </w:rPr>
        <w:t xml:space="preserve"> </w:t>
      </w:r>
      <w:r>
        <w:rPr>
          <w:rFonts w:hint="default"/>
        </w:rPr>
        <w:t>South Sudan’s foreign ministry issued its own denial on Wednesday.</w:t>
      </w:r>
      <w:r>
        <w:rPr>
          <w:rFonts w:hint="default"/>
          <w:lang w:val="en-GB"/>
        </w:rPr>
        <w:t xml:space="preserve"> </w:t>
      </w:r>
      <w:r>
        <w:rPr>
          <w:rFonts w:hint="default"/>
        </w:rPr>
        <w:t>“The Ministry of Foreign Affairs and International Cooperation of the Republic of South Sudan firmly refutes recent media reports,” a statement read. “These claims are baseless and do not reflect the official position or policy of the government.”</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0" w:name="_Toc28824"/>
      <w:r>
        <w:rPr>
          <w:rFonts w:eastAsia="DengXian Light" w:cs="Times New Roman"/>
          <w:b/>
          <w:bCs/>
          <w:color w:val="2F5496"/>
          <w:szCs w:val="24"/>
          <w:u w:val="single"/>
        </w:rPr>
        <w:t>Gulf Region and the Middle East</w:t>
      </w:r>
      <w:bookmarkEnd w:id="20"/>
    </w:p>
    <w:p w14:paraId="21F1C4EC">
      <w:pPr>
        <w:pStyle w:val="3"/>
      </w:pPr>
      <w:bookmarkStart w:id="21" w:name="_Toc18681"/>
      <w:r>
        <w:t>Egypt</w:t>
      </w:r>
      <w:bookmarkEnd w:id="21"/>
    </w:p>
    <w:p w14:paraId="40AA615D">
      <w:pPr>
        <w:numPr>
          <w:ilvl w:val="0"/>
          <w:numId w:val="1"/>
        </w:numPr>
        <w:spacing w:line="276" w:lineRule="auto"/>
        <w:ind w:left="420" w:leftChars="0" w:hanging="420" w:firstLineChars="0"/>
        <w:rPr>
          <w:rFonts w:hint="default"/>
        </w:rPr>
      </w:pPr>
      <w:bookmarkStart w:id="22" w:name="_Toc24247"/>
      <w:r>
        <w:rPr>
          <w:rStyle w:val="15"/>
          <w:rFonts w:hint="default"/>
        </w:rPr>
        <w:t>Egypt, Jordan train Palestinian police for deployment in Gaza</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"https://www.middleeastmonitor.com/20250814-egypt-jordan-train-palestinian-police-for-deployment-in-gaza/"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91881E4">
      <w:pPr>
        <w:spacing w:line="276" w:lineRule="auto"/>
      </w:pPr>
      <w:r>
        <w:rPr>
          <w:rFonts w:hint="default"/>
        </w:rPr>
        <w:t>Egyptian Foreign Minister Badr Abdelatty said Wednesday that lists have been finalized for Palestinian police personnel undergoing training in Egypt and Jordan for deployment in Gaza to address a security vacuum in the territory, Anadolu reports.</w:t>
      </w:r>
      <w:r>
        <w:rPr>
          <w:rFonts w:hint="default"/>
          <w:lang w:val="en-GB"/>
        </w:rPr>
        <w:t xml:space="preserve"> </w:t>
      </w:r>
      <w:r>
        <w:rPr>
          <w:rFonts w:hint="default"/>
        </w:rPr>
        <w:t>Abdelatty told local broadcaster DMC TV that around 5,000 Palestinian police officers will be trained in Egypt to take part in Gaza’s security administration after Israel’s war comes to an end.</w:t>
      </w:r>
      <w:r>
        <w:rPr>
          <w:rFonts w:hint="default"/>
          <w:lang w:val="en-GB"/>
        </w:rPr>
        <w:t xml:space="preserve"> </w:t>
      </w:r>
      <w:r>
        <w:rPr>
          <w:rFonts w:hint="default"/>
        </w:rPr>
        <w:t>He explained Egypt and Jordan are cooperating to prepare Palestinian security personnel to manage the enclave and avoid a security vacuum.</w:t>
      </w:r>
      <w:r>
        <w:rPr>
          <w:rFonts w:hint="default"/>
          <w:lang w:val="en-GB"/>
        </w:rPr>
        <w:t xml:space="preserve"> </w:t>
      </w:r>
      <w:r>
        <w:rPr>
          <w:rFonts w:hint="default"/>
        </w:rPr>
        <w:t>The top diplomat said Cairo will host an international conference for Gaza’s reconstruction, during which Egypt’s vision for administering the strip after the war will be announced.</w:t>
      </w:r>
      <w:r>
        <w:rPr>
          <w:rFonts w:hint="default"/>
          <w:lang w:val="en-GB"/>
        </w:rPr>
        <w:t xml:space="preserve"> </w:t>
      </w:r>
      <w:r>
        <w:rPr>
          <w:rFonts w:hint="default"/>
        </w:rPr>
        <w:t>Abdelatty added that an agreement has been reached on 15 prominent figures from Gaza to run the territory for six months, stressing that the Palestinian Authority is the sole legitimate body entitled to govern Gaza.</w:t>
      </w:r>
      <w:r>
        <w:rPr>
          <w:rFonts w:hint="default"/>
          <w:lang w:val="en-GB"/>
        </w:rPr>
        <w:t xml:space="preserve"> </w:t>
      </w:r>
      <w:r>
        <w:rPr>
          <w:rFonts w:hint="default"/>
        </w:rPr>
        <w:t>On Monday, Israeli Prime Minister Benjamin Netanyahu said Gaza would be run by a “non-Israeli civilian administration” after the occupation of Gaza City.</w:t>
      </w:r>
      <w:r>
        <w:rPr>
          <w:rFonts w:hint="default"/>
          <w:lang w:val="en-GB"/>
        </w:rPr>
        <w:t xml:space="preserve"> </w:t>
      </w:r>
      <w:r>
        <w:rPr>
          <w:rFonts w:hint="default"/>
        </w:rPr>
        <w:t>He claimed that the planned administration will be run by third parties, “not Hamas or the Palestinian Authority,” without giving further details.</w:t>
      </w:r>
      <w:r>
        <w:rPr>
          <w:rFonts w:hint="default"/>
          <w:lang w:val="en-GB"/>
        </w:rPr>
        <w:t xml:space="preserve"> </w:t>
      </w:r>
      <w:r>
        <w:rPr>
          <w:rFonts w:hint="default"/>
        </w:rPr>
        <w:t>Israel is facing mounting condemnation for its genocidal war on Gaza, where it has killed more than 61,700 victims since October 2023.</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22CF10A">
      <w:pPr>
        <w:pStyle w:val="3"/>
      </w:pPr>
      <w:bookmarkStart w:id="23" w:name="_Toc32652"/>
      <w:r>
        <w:rPr>
          <w:rFonts w:hint="default"/>
          <w:lang w:val="en-GB"/>
        </w:rPr>
        <w:t>Lebanon</w:t>
      </w:r>
      <w:bookmarkEnd w:id="23"/>
    </w:p>
    <w:p w14:paraId="3294920B">
      <w:pPr>
        <w:numPr>
          <w:ilvl w:val="0"/>
          <w:numId w:val="1"/>
        </w:numPr>
        <w:spacing w:line="276" w:lineRule="auto"/>
        <w:ind w:left="420" w:leftChars="0" w:hanging="420" w:firstLineChars="0"/>
        <w:rPr>
          <w:rFonts w:hint="default"/>
        </w:rPr>
      </w:pPr>
      <w:bookmarkStart w:id="24" w:name="_Toc31437"/>
      <w:r>
        <w:rPr>
          <w:rStyle w:val="15"/>
          <w:rFonts w:hint="default"/>
        </w:rPr>
        <w:t>Hezbollah vows not to surrender weapons while Israel exists, warns Lebanese government</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"https://www.middleeastmonitor.com/20250815-hezbollah-vows-not-to-surrender-weapons-while-israel-exists-warns-lebanese-government/"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CB83E0">
      <w:pPr>
        <w:spacing w:line="276" w:lineRule="auto"/>
      </w:pPr>
      <w:r>
        <w:rPr>
          <w:rFonts w:hint="default"/>
        </w:rPr>
        <w:t>The Lebanese group Hezbollah’s Secretary-General Naim Qassem declared on Friday that the party will not hand over its weapons as long as Israel continues to exist.</w:t>
      </w:r>
      <w:r>
        <w:rPr>
          <w:rFonts w:hint="default"/>
          <w:lang w:val="en-GB"/>
        </w:rPr>
        <w:t xml:space="preserve"> </w:t>
      </w:r>
      <w:r>
        <w:rPr>
          <w:rFonts w:hint="default"/>
        </w:rPr>
        <w:t>Qassem made the statement in a televised address delivered on the occasion of the 40th-day commemoration of Imam Hussein in the eastern Lebanese city of Baalbek.</w:t>
      </w:r>
      <w:r>
        <w:rPr>
          <w:rFonts w:hint="default"/>
          <w:lang w:val="en-GB"/>
        </w:rPr>
        <w:t xml:space="preserve"> </w:t>
      </w:r>
      <w:r>
        <w:rPr>
          <w:rFonts w:hint="default"/>
        </w:rPr>
        <w:t>The commemoration marks the end of a 40-day mourning period for the grandson of Islam’s Prophet Muhammad, Imam Hussein, killed in battle in 680. Every year, thousands of Shia pilgrims travel on foot to Iraq’s Karbala city to mark the ritual, one of the largest religious events in the Shia world.</w:t>
      </w:r>
      <w:r>
        <w:rPr>
          <w:rFonts w:hint="default"/>
          <w:lang w:val="en-GB"/>
        </w:rPr>
        <w:t xml:space="preserve"> </w:t>
      </w:r>
      <w:r>
        <w:rPr>
          <w:rFonts w:hint="default"/>
        </w:rPr>
        <w:t>“The resistance will not surrender its weapons while the (Israeli) occupation exists. We are ready to fight a Karbala-like battle, if necessary, against the Israeli-American project, no matter the price,” Qassem said.</w:t>
      </w:r>
      <w:r>
        <w:rPr>
          <w:rFonts w:hint="default"/>
          <w:lang w:val="en-GB"/>
        </w:rPr>
        <w:t xml:space="preserve"> </w:t>
      </w:r>
      <w:r>
        <w:rPr>
          <w:rFonts w:hint="default"/>
        </w:rPr>
        <w:t>He also criticised the Lebanese government, saying it “bears full responsibility for any internal strife and for neglecting its duty to defend the country’s land.”</w:t>
      </w:r>
      <w:r>
        <w:rPr>
          <w:rFonts w:hint="default"/>
          <w:lang w:val="en-GB"/>
        </w:rPr>
        <w:t xml:space="preserve"> </w:t>
      </w:r>
      <w:r>
        <w:rPr>
          <w:rFonts w:hint="default"/>
        </w:rPr>
        <w:t>Addressing the government directly, Qassem urged: “Stop the aggression and expel Israel from Lebanon.”</w:t>
      </w:r>
      <w:r>
        <w:rPr>
          <w:rFonts w:hint="default"/>
          <w:lang w:val="en-GB"/>
        </w:rPr>
        <w:t xml:space="preserve"> </w:t>
      </w:r>
      <w:r>
        <w:rPr>
          <w:rFonts w:hint="default"/>
        </w:rPr>
        <w:t>“You will have our full cooperation during discussions on national and strategic security,” said Qassem in reference to the government’s stance on disarming Hezbollah and consolidating arms under state control.</w:t>
      </w:r>
      <w:r>
        <w:rPr>
          <w:rFonts w:hint="default"/>
          <w:lang w:val="en-GB"/>
        </w:rPr>
        <w:t xml:space="preserve"> </w:t>
      </w:r>
      <w:r>
        <w:rPr>
          <w:rFonts w:hint="default"/>
        </w:rPr>
        <w:t>Qassem further cautioned that street protests against disarmament could escalate, potentially reaching the US Embassy in Beirut.</w:t>
      </w:r>
      <w:r>
        <w:rPr>
          <w:rFonts w:hint="default"/>
          <w:lang w:val="en-GB"/>
        </w:rPr>
        <w:t xml:space="preserve"> </w:t>
      </w:r>
      <w:r>
        <w:rPr>
          <w:rFonts w:hint="default"/>
        </w:rPr>
        <w:t>In a move seen as directly targeting Hezbollah for the first time in years, the Lebanese Cabinet last week tasked the army with drafting a full disarmament plan and endorsed the objectives of a US-backed proposal calling for the state’s exclusive control over all weapons across the country.</w:t>
      </w:r>
      <w:r>
        <w:rPr>
          <w:rFonts w:hint="default"/>
          <w:lang w:val="en-GB"/>
        </w:rPr>
        <w:t xml:space="preserve"> </w:t>
      </w:r>
      <w:r>
        <w:rPr>
          <w:rFonts w:hint="default"/>
        </w:rPr>
        <w:t>The controversial step was met with fierce opposition from Hezbollah, which condemned the plan as a “grave mistake” and made clear it would not comply.</w:t>
      </w:r>
      <w:r>
        <w:rPr>
          <w:rFonts w:hint="default"/>
          <w:lang w:val="en-GB"/>
        </w:rPr>
        <w:t xml:space="preserve"> </w:t>
      </w:r>
      <w:r>
        <w:rPr>
          <w:rFonts w:hint="default"/>
        </w:rPr>
        <w:t>Israel launched a military offensive in Lebanon on 8 October 2023, which escalated into a full-scale war by September 2024, killing more than 4,000 people and injuring around 17,000.</w:t>
      </w:r>
      <w:r>
        <w:rPr>
          <w:rFonts w:hint="default"/>
          <w:lang w:val="en-GB"/>
        </w:rPr>
        <w:t xml:space="preserve"> </w:t>
      </w:r>
      <w:r>
        <w:rPr>
          <w:rFonts w:hint="default"/>
        </w:rPr>
        <w:t>A ceasefire was reached in November, but Israeli forces have since conducted near-daily attacks in southern Lebanon, claiming to target activities of the Lebanese Hezbollah group.</w:t>
      </w:r>
      <w:r>
        <w:rPr>
          <w:rFonts w:hint="default"/>
          <w:lang w:val="en-GB"/>
        </w:rPr>
        <w:t xml:space="preserve"> </w:t>
      </w:r>
      <w:r>
        <w:rPr>
          <w:rFonts w:hint="default"/>
        </w:rPr>
        <w:t>Under the truce, Israel was supposed to fully withdraw from southern Lebanon by 26 January, but the deadline was extended to 18 February after Tel Aviv refused to comply. Israel still maintains a military presence at five border outposts.</w:t>
      </w:r>
    </w:p>
    <w:p w14:paraId="3B66B657">
      <w:pPr>
        <w:pStyle w:val="3"/>
        <w:spacing w:line="276" w:lineRule="auto"/>
      </w:pPr>
      <w:bookmarkStart w:id="25" w:name="_Toc9213"/>
      <w:r>
        <w:t>Israel</w:t>
      </w:r>
      <w:bookmarkEnd w:id="25"/>
      <w:r>
        <w:t xml:space="preserve"> </w:t>
      </w:r>
    </w:p>
    <w:p w14:paraId="526100ED">
      <w:pPr>
        <w:numPr>
          <w:ilvl w:val="0"/>
          <w:numId w:val="1"/>
        </w:numPr>
        <w:spacing w:line="276" w:lineRule="auto"/>
        <w:ind w:left="420" w:leftChars="0" w:hanging="420" w:firstLineChars="0"/>
        <w:rPr>
          <w:rFonts w:hint="default"/>
        </w:rPr>
      </w:pPr>
      <w:bookmarkStart w:id="26" w:name="_Toc31493"/>
      <w:r>
        <w:rPr>
          <w:rStyle w:val="15"/>
          <w:rFonts w:hint="default"/>
        </w:rPr>
        <w:t>UNRWA chief: Israel has blocked food entry to Gaza for over 5 months</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"https://www.middleeastmonitor.com/20250815-unrwa-chief-israel-has-blocked-food-entry-to-gaza-for-over-5-months/"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A81EE3F">
      <w:pPr>
        <w:spacing w:line="276" w:lineRule="auto"/>
      </w:pPr>
      <w:r>
        <w:rPr>
          <w:rFonts w:hint="default"/>
        </w:rPr>
        <w:t xml:space="preserve">Philip Lazzarini, the commissioner-general of the UN Relief and Works Agency for Palestine Refugees (UNRWA), said the UN agency, like other non-governmental organisations (NGOs), “has also been banned from bringing in aid to Gaza for over 5 months now.” </w:t>
      </w:r>
      <w:r>
        <w:rPr>
          <w:rFonts w:hint="default"/>
          <w:lang w:val="en-GB"/>
        </w:rPr>
        <w:t xml:space="preserve"> </w:t>
      </w:r>
      <w:r>
        <w:rPr>
          <w:rFonts w:hint="default"/>
        </w:rPr>
        <w:t>He added on his X account: “Our warehouses in Egypt and Jordan are full of food, medicine, and hygiene supplies enough to fill 6,000 trucks.”</w:t>
      </w:r>
      <w:r>
        <w:rPr>
          <w:rFonts w:hint="default"/>
          <w:lang w:val="en-GB"/>
        </w:rPr>
        <w:t xml:space="preserve"> </w:t>
      </w:r>
      <w:r>
        <w:rPr>
          <w:rFonts w:hint="default"/>
        </w:rPr>
        <w:t>Lazzarini concluded by joining the call of other NGOs to allow UN-managed humanitarian aid into Gaza, saying: “We join the NGOs to call for a ceasefire in Gaza and for aid to be allowed in, managed by the UN system including UNRWA.”</w:t>
      </w:r>
      <w:r>
        <w:rPr>
          <w:rFonts w:hint="default"/>
          <w:lang w:val="en-GB"/>
        </w:rPr>
        <w:t xml:space="preserve"> </w:t>
      </w:r>
      <w:r>
        <w:rPr>
          <w:rFonts w:hint="default"/>
        </w:rPr>
        <w:t>In January, the Israeli ban on UNRWA came into effect, preventing the agency from operating in Gaza, East Jerusalem, and the West Bank.</w:t>
      </w:r>
    </w:p>
    <w:p w14:paraId="0CEF8774">
      <w:pPr>
        <w:pStyle w:val="3"/>
      </w:pPr>
      <w:bookmarkStart w:id="27" w:name="_Toc21457"/>
      <w:r>
        <w:t>Palestine</w:t>
      </w:r>
      <w:bookmarkEnd w:id="27"/>
      <w:r>
        <w:t xml:space="preserve"> </w:t>
      </w:r>
    </w:p>
    <w:p w14:paraId="17F827E2">
      <w:pPr>
        <w:numPr>
          <w:ilvl w:val="0"/>
          <w:numId w:val="1"/>
        </w:numPr>
        <w:spacing w:line="276" w:lineRule="auto"/>
        <w:ind w:left="420" w:leftChars="0" w:hanging="420" w:firstLineChars="0"/>
        <w:rPr>
          <w:rFonts w:hint="default"/>
        </w:rPr>
      </w:pPr>
      <w:bookmarkStart w:id="28" w:name="_Toc28341"/>
      <w:r>
        <w:rPr>
          <w:rStyle w:val="15"/>
          <w:rFonts w:hint="default"/>
        </w:rPr>
        <w:t>Gaza: Resistance warns of Israeli drones dropping spy devices, explosives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"https://www.middleeastmonitor.com/20250815-gaza-resistance-warns-of-israeli-drones-dropping-spy-devices-explosives/"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5ED3F4E">
      <w:pPr>
        <w:spacing w:line="276" w:lineRule="auto"/>
      </w:pPr>
      <w:r>
        <w:rPr>
          <w:rFonts w:hint="default"/>
        </w:rPr>
        <w:t>Resistance Security forces in the Gaza Strip on Thursday warned residents about an increase in activity by Israeli Quadcopter drones in recent days. According to a statement published on the security platform Al-Haris, these drones have dropped surveillance devices and explosive objects across various parts of the Strip.</w:t>
      </w:r>
      <w:r>
        <w:rPr>
          <w:rFonts w:hint="default"/>
          <w:lang w:val="en-GB"/>
        </w:rPr>
        <w:t xml:space="preserve"> </w:t>
      </w:r>
      <w:r>
        <w:rPr>
          <w:rFonts w:hint="default"/>
        </w:rPr>
        <w:t>The security statement noted that several of these items were found on the rooftops of homes and near tents sheltering displaced people.</w:t>
      </w:r>
      <w:r>
        <w:rPr>
          <w:rFonts w:hint="default"/>
          <w:lang w:val="en-GB"/>
        </w:rPr>
        <w:t xml:space="preserve"> </w:t>
      </w:r>
      <w:r>
        <w:rPr>
          <w:rFonts w:hint="default"/>
        </w:rPr>
        <w:t>It stressed the need to take the utmost caution and conduct a careful survey of the surroundings of homes, especially public and abandoned buildings.</w:t>
      </w:r>
      <w:r>
        <w:rPr>
          <w:rFonts w:hint="default"/>
          <w:lang w:val="en-GB"/>
        </w:rPr>
        <w:t xml:space="preserve"> </w:t>
      </w:r>
      <w:r>
        <w:rPr>
          <w:rFonts w:hint="default"/>
        </w:rPr>
        <w:t>The statement strongly advised people not to approach or tamper with any suspicious object, and to report any such items immediately to the relevant authorities.</w:t>
      </w:r>
      <w:r>
        <w:rPr>
          <w:rFonts w:hint="default"/>
          <w:lang w:val="en-GB"/>
        </w:rPr>
        <w:t xml:space="preserve"> </w:t>
      </w:r>
      <w:r>
        <w:rPr>
          <w:rFonts w:hint="default"/>
        </w:rPr>
        <w:t>The occupation forces, with American support, continue their war on the strip through killing, starvation, destruction, and forced displacement, defying rulings by the International Court of Justice and ignoring international calls to end the war.</w:t>
      </w:r>
      <w:r>
        <w:rPr>
          <w:rFonts w:hint="default"/>
          <w:lang w:val="en-GB"/>
        </w:rPr>
        <w:t xml:space="preserve"> </w:t>
      </w:r>
      <w:r>
        <w:rPr>
          <w:rFonts w:hint="default"/>
        </w:rPr>
        <w:t>To date, the aggression has left more than 215,000 Palestinians killed or wounded—most of whom are children and women—and over 9,000 missing, along with hundreds of thousands displaced.</w:t>
      </w:r>
    </w:p>
    <w:p w14:paraId="22AA2D8F">
      <w:pPr>
        <w:pStyle w:val="3"/>
      </w:pPr>
      <w:bookmarkStart w:id="29" w:name="_Toc12644"/>
      <w:r>
        <w:t>Turkey</w:t>
      </w:r>
      <w:bookmarkEnd w:id="29"/>
    </w:p>
    <w:p w14:paraId="49A9CB41">
      <w:pPr>
        <w:numPr>
          <w:ilvl w:val="0"/>
          <w:numId w:val="1"/>
        </w:numPr>
        <w:spacing w:line="276" w:lineRule="auto"/>
        <w:ind w:left="420" w:leftChars="0" w:hanging="420" w:firstLineChars="0"/>
        <w:rPr>
          <w:rFonts w:hint="default"/>
        </w:rPr>
      </w:pPr>
      <w:bookmarkStart w:id="30" w:name="_Toc26039"/>
      <w:r>
        <w:rPr>
          <w:rStyle w:val="15"/>
          <w:rFonts w:hint="default"/>
        </w:rPr>
        <w:t>Turkey, Syria warn Israel of “fomenting chaos” in Syria</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"https://www.middleeastmonitor.com/20250814-turkey-syria-warn-israel-of-fomenting-chaos-in-syria/"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9E1B87">
      <w:pPr>
        <w:spacing w:line="276" w:lineRule="auto"/>
      </w:pPr>
      <w:r>
        <w:rPr>
          <w:rFonts w:hint="default"/>
        </w:rPr>
        <w:t>Turkish Foreign Minister Hakan Fidan and Syrian Foreign Minister Asaad al-Shaybani jointly condemned Israel on Wednesday, accusing it of “fomenting chaos” in Syria and warned against its interference in the internal affairs of Damascus. During a press conference in Ankara, Fidan stated, “Certain actors are concerned about the positive developments in Syria,” specifically referencing Israel and Kurdish YPG forces operating in northeastern Syria. He described Israel as “one of the most significant players in this dark picture,” highlighting ongoing military incursions that have persisted since the ousting of Syrian President Bashar al-Assad late last year.</w:t>
      </w:r>
      <w:r>
        <w:rPr>
          <w:rFonts w:hint="default"/>
          <w:lang w:val="en-GB"/>
        </w:rPr>
        <w:t xml:space="preserve"> </w:t>
      </w:r>
      <w:r>
        <w:rPr>
          <w:rFonts w:hint="default"/>
        </w:rPr>
        <w:t>Fidan pointed to recent events in Latakia and Sweida, alongside the YPG’s failure to integrate into the Syrian state, as indicators of the challenges facing Syria’s reconstruction. He emphasied Ankara’s commitment to take necessary measures and collaborate with regional partners, aiming for peaceful resolutions to these issues. “The emergence of chaos in Syria appears to have become a priority for Israel’s national security,” he added.</w:t>
      </w:r>
      <w:r>
        <w:rPr>
          <w:rFonts w:hint="default"/>
          <w:lang w:val="en-GB"/>
        </w:rPr>
        <w:t xml:space="preserve"> </w:t>
      </w:r>
      <w:r>
        <w:rPr>
          <w:rFonts w:hint="default"/>
        </w:rPr>
        <w:t>Syrian Minister al-Shaybani echoed these concerns, voicing apprehension over “new challenges that are no less serious than those Syria faced during the war years, particularly the persistent Israeli threats.” He further warned against “multiple foreign interventions—both direct and indirect—that aim to weaken the state and foster fragile, de facto divisions.” Al-Shaybani reiterated that such interventions risk pushing Syria toward sectarian and regional conflicts, although he did not provide further details.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1" w:name="_Toc28752"/>
      <w:r>
        <w:rPr>
          <w:rFonts w:eastAsia="DengXian Light" w:cs="Times New Roman"/>
          <w:b/>
          <w:bCs/>
          <w:color w:val="2F5496"/>
          <w:szCs w:val="24"/>
          <w:u w:val="single"/>
        </w:rPr>
        <w:t>Global Powers</w:t>
      </w:r>
      <w:bookmarkEnd w:id="31"/>
    </w:p>
    <w:p w14:paraId="336E9521">
      <w:pPr>
        <w:pStyle w:val="3"/>
        <w:bidi w:val="0"/>
        <w:rPr>
          <w:rFonts w:hint="default"/>
          <w:lang w:val="en-GB" w:eastAsia="zh-CN"/>
        </w:rPr>
      </w:pPr>
      <w:bookmarkStart w:id="32" w:name="_Toc17343"/>
      <w:r>
        <w:rPr>
          <w:rFonts w:hint="default"/>
          <w:lang w:val="en-GB" w:eastAsia="zh-CN"/>
        </w:rPr>
        <w:t>US</w:t>
      </w:r>
      <w:bookmarkEnd w:id="32"/>
    </w:p>
    <w:p w14:paraId="2812E7E1">
      <w:pPr>
        <w:numPr>
          <w:ilvl w:val="0"/>
          <w:numId w:val="1"/>
        </w:numPr>
        <w:spacing w:line="276" w:lineRule="auto"/>
        <w:ind w:left="420" w:leftChars="0" w:hanging="420" w:firstLineChars="0"/>
        <w:rPr>
          <w:rFonts w:hint="default"/>
          <w:lang w:val="en-GB"/>
        </w:rPr>
      </w:pPr>
      <w:bookmarkStart w:id="33" w:name="_Toc29168"/>
      <w:r>
        <w:rPr>
          <w:rStyle w:val="15"/>
          <w:rFonts w:hint="default"/>
        </w:rPr>
        <w:t>Trump says he ‘would like to see’ Israel allow international journalists into Gaza</w:t>
      </w:r>
      <w:r>
        <w:rPr>
          <w:rStyle w:val="15"/>
          <w:rFonts w:hint="default"/>
          <w:lang w:val="en-GB"/>
        </w:rPr>
        <w:t xml:space="preserve"> </w:t>
      </w:r>
      <w:bookmarkEnd w:id="33"/>
      <w:r>
        <w:rPr>
          <w:rFonts w:hint="default"/>
          <w:lang w:val="en-GB"/>
        </w:rPr>
        <w:t xml:space="preserve">- </w:t>
      </w:r>
      <w:r>
        <w:rPr>
          <w:rFonts w:hint="default"/>
          <w:lang w:val="en-GB"/>
        </w:rPr>
        <w:fldChar w:fldCharType="begin"/>
      </w:r>
      <w:r>
        <w:rPr>
          <w:rFonts w:hint="default"/>
          <w:lang w:val="en-GB"/>
        </w:rPr>
        <w:instrText xml:space="preserve"> HYPERLINK "https://www.middleeastmonitor.com/20250814-trump-says-he-would-like-to-see-israel-allow-international-journalists-into-gaza/"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C0969D4">
      <w:pPr>
        <w:spacing w:line="276" w:lineRule="auto"/>
      </w:pPr>
      <w:r>
        <w:rPr>
          <w:rFonts w:hint="default"/>
        </w:rPr>
        <w:t>US President Donald Trump said Thursday that he “would like to see” Israel allow international journalists to report from the besieged Gaza Strip, Anadolu reports.</w:t>
      </w:r>
      <w:r>
        <w:rPr>
          <w:rFonts w:hint="default"/>
          <w:lang w:val="en-GB"/>
        </w:rPr>
        <w:t xml:space="preserve"> </w:t>
      </w:r>
      <w:r>
        <w:rPr>
          <w:rFonts w:hint="default"/>
        </w:rPr>
        <w:t>Since October 2023, Israel has barred international journalists from entering Gaza, with rare exceptions granted for highly curated embeds with the Israeli military. Most reporting from Gaza has come from local Palestinian reporters, at least 184 journalists of whom have been killed by Israel since the war began, according to the Committee to Protect Journalists.</w:t>
      </w:r>
      <w:r>
        <w:rPr>
          <w:rFonts w:hint="default"/>
          <w:lang w:val="en-GB"/>
        </w:rPr>
        <w:t xml:space="preserve"> </w:t>
      </w:r>
      <w:r>
        <w:rPr>
          <w:rFonts w:hint="default"/>
        </w:rPr>
        <w:t>“I would like to see it happen. I would be very fine with journalists going in,” Trump told reporters in the Oval Office. “It’s a very dangerous position to be in, as you know, if you’re a journalist, but I would like to see it.”</w:t>
      </w:r>
      <w:r>
        <w:rPr>
          <w:rFonts w:hint="default"/>
          <w:lang w:val="en-GB"/>
        </w:rPr>
        <w:t xml:space="preserve"> </w:t>
      </w:r>
      <w:r>
        <w:rPr>
          <w:rFonts w:hint="default"/>
        </w:rPr>
        <w:t>Late Sunday, Al Jazeera Arabic’s Gaza correspondents Anas al-Sharif, Mohamed Qraiqea, and three others were killed in an Israeli strike targeting a journalists’ tent near the Al-Shifa Hospital in Gaza City.</w:t>
      </w:r>
      <w:r>
        <w:rPr>
          <w:rFonts w:hint="default"/>
          <w:lang w:val="en-GB"/>
        </w:rPr>
        <w:t xml:space="preserve"> </w:t>
      </w:r>
      <w:r>
        <w:rPr>
          <w:rFonts w:hint="default"/>
        </w:rPr>
        <w:t>Rejecting international calls for a ceasefire, Israel has pursued a brutal military offensive on Gaza since October 2023, killing more than 61,000 Palestinians, almost half of them women and children. The military campaign has devastated the enclave, which is facing famine.</w:t>
      </w:r>
      <w:r>
        <w:rPr>
          <w:rFonts w:hint="default"/>
          <w:lang w:val="en-GB"/>
        </w:rPr>
        <w:t xml:space="preserve"> </w:t>
      </w:r>
      <w:r>
        <w:rPr>
          <w:rFonts w:hint="default"/>
        </w:rPr>
        <w:t>Despite mounting international concerns about escalating ethnic cleansing and genocide against Palestinians, Israel’s Security Cabinet on Friday approved Prime Minister Benjamin Netanyahu’s plan to expand military operations and occupy Gaza City.</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The International Court of Justice, in its interim ruling on Gaza last year, said that it is “plausible” that Israel’s actions could amount to genocide.</w:t>
      </w:r>
      <w:r>
        <w:rPr>
          <w:rFonts w:hint="default"/>
          <w:lang w:val="en-GB"/>
        </w:rPr>
        <w:t xml:space="preserve"> </w:t>
      </w:r>
      <w:r>
        <w:rPr>
          <w:rFonts w:hint="default"/>
        </w:rPr>
        <w:t>The court issued provisional measures, requiring Israel to abide by international law and ensure aid and services reach Palestinians under siege in Gaza.</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August 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401ACD"/>
    <w:multiLevelType w:val="singleLevel"/>
    <w:tmpl w:val="56401ACD"/>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D372F25"/>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34E3AD1"/>
    <w:rsid w:val="24001757"/>
    <w:rsid w:val="246C2349"/>
    <w:rsid w:val="2695760A"/>
    <w:rsid w:val="27FC35AE"/>
    <w:rsid w:val="28DD085E"/>
    <w:rsid w:val="31B56A09"/>
    <w:rsid w:val="324F4CE8"/>
    <w:rsid w:val="32F1202D"/>
    <w:rsid w:val="36ED01B1"/>
    <w:rsid w:val="38440AB1"/>
    <w:rsid w:val="3D037EF0"/>
    <w:rsid w:val="3FC86C6F"/>
    <w:rsid w:val="3FF27F13"/>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3F90F3E"/>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6</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2025-08-15T13:04:03Z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F7B47AF9C6124DFBB7B86C40592EE172_13</vt:lpwstr>
  </property>
</Properties>
</file>