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9F19B7">
      <w:pPr>
        <w:pStyle w:val="12"/>
        <w:spacing w:line="276" w:lineRule="auto"/>
        <w:jc w:val="center"/>
        <w:rPr>
          <w:rFonts w:ascii="Times New Roman" w:hAnsi="Times New Roman" w:cs="Times New Roman"/>
          <w:sz w:val="40"/>
          <w:szCs w:val="40"/>
        </w:rPr>
      </w:pPr>
      <w:r>
        <w:rPr>
          <w:rFonts w:ascii="Times New Roman" w:hAnsi="Times New Roman" w:cs="Times New Roman"/>
          <w:sz w:val="40"/>
          <w:szCs w:val="40"/>
        </w:rPr>
        <w:t xml:space="preserve">News Highlights – </w:t>
      </w:r>
      <w:r>
        <w:rPr>
          <w:rFonts w:hint="default" w:ascii="Times New Roman" w:hAnsi="Times New Roman" w:cs="Times New Roman"/>
          <w:sz w:val="40"/>
          <w:szCs w:val="40"/>
          <w:lang w:val="en-GB"/>
        </w:rPr>
        <w:t>Friday</w:t>
      </w:r>
      <w:r>
        <w:rPr>
          <w:rFonts w:ascii="Times New Roman" w:hAnsi="Times New Roman" w:cs="Times New Roman"/>
          <w:sz w:val="40"/>
          <w:szCs w:val="40"/>
        </w:rPr>
        <w:t xml:space="preserve">, </w:t>
      </w:r>
      <w:r>
        <w:rPr>
          <w:rFonts w:hint="default" w:ascii="Times New Roman" w:hAnsi="Times New Roman" w:cs="Times New Roman"/>
          <w:sz w:val="40"/>
          <w:szCs w:val="40"/>
          <w:lang w:val="en-GB"/>
        </w:rPr>
        <w:t>August 1, 2025</w:t>
      </w:r>
    </w:p>
    <w:sdt>
      <w:sdtPr>
        <w:rPr>
          <w:rFonts w:eastAsia="SimSun" w:cs="Times New Roman"/>
          <w:szCs w:val="24"/>
        </w:rPr>
        <w:id w:val="147471055"/>
        <w:docPartObj>
          <w:docPartGallery w:val="Table of Contents"/>
          <w:docPartUnique/>
        </w:docPartObj>
      </w:sdtPr>
      <w:sdtEndPr>
        <w:rPr>
          <w:rFonts w:eastAsia="Calibri" w:cs="Times New Roman"/>
          <w:szCs w:val="24"/>
        </w:rPr>
      </w:sdtEndPr>
      <w:sdtContent>
        <w:p w14:paraId="06AA3B41">
          <w:pPr>
            <w:spacing w:line="276" w:lineRule="auto"/>
            <w:jc w:val="center"/>
            <w:rPr>
              <w:rFonts w:cs="Times New Roman"/>
              <w:szCs w:val="24"/>
            </w:rPr>
          </w:pPr>
          <w:r>
            <w:rPr>
              <w:rStyle w:val="10"/>
              <w:rFonts w:cs="Times New Roman"/>
              <w:b/>
              <w:bCs/>
              <w:szCs w:val="24"/>
            </w:rPr>
            <w:t>News Contents</w:t>
          </w:r>
        </w:p>
        <w:p w14:paraId="4C978362">
          <w:pPr>
            <w:pStyle w:val="13"/>
            <w:tabs>
              <w:tab w:val="right" w:leader="dot" w:pos="8640"/>
            </w:tabs>
          </w:pPr>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r>
            <w:rPr>
              <w:rFonts w:eastAsia="Calibri" w:cs="Times New Roman"/>
              <w:szCs w:val="24"/>
            </w:rPr>
            <w:fldChar w:fldCharType="begin"/>
          </w:r>
          <w:r>
            <w:rPr>
              <w:rFonts w:eastAsia="Calibri" w:cs="Times New Roman"/>
              <w:szCs w:val="24"/>
            </w:rPr>
            <w:instrText xml:space="preserve"> HYPERLINK \l _Toc24994 </w:instrText>
          </w:r>
          <w:r>
            <w:rPr>
              <w:rFonts w:eastAsia="Calibri" w:cs="Times New Roman"/>
              <w:szCs w:val="24"/>
            </w:rPr>
            <w:fldChar w:fldCharType="separate"/>
          </w:r>
          <w:r>
            <w:rPr>
              <w:rFonts w:eastAsia="DengXian Light" w:cs="Times New Roman"/>
              <w:bCs/>
              <w:szCs w:val="24"/>
            </w:rPr>
            <w:t>Ethiopia</w:t>
          </w:r>
          <w:r>
            <w:tab/>
          </w:r>
          <w:r>
            <w:fldChar w:fldCharType="begin"/>
          </w:r>
          <w:r>
            <w:instrText xml:space="preserve"> PAGEREF _Toc24994 \h </w:instrText>
          </w:r>
          <w:r>
            <w:fldChar w:fldCharType="separate"/>
          </w:r>
          <w:r>
            <w:t>3</w:t>
          </w:r>
          <w:r>
            <w:fldChar w:fldCharType="end"/>
          </w:r>
          <w:r>
            <w:rPr>
              <w:rFonts w:eastAsia="Calibri" w:cs="Times New Roman"/>
              <w:szCs w:val="24"/>
            </w:rPr>
            <w:fldChar w:fldCharType="end"/>
          </w:r>
        </w:p>
        <w:p w14:paraId="512B98F6">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_Toc20493 </w:instrText>
          </w:r>
          <w:r>
            <w:rPr>
              <w:rFonts w:eastAsia="Calibri" w:cs="Times New Roman"/>
              <w:szCs w:val="24"/>
            </w:rPr>
            <w:fldChar w:fldCharType="separate"/>
          </w:r>
          <w:r>
            <w:rPr>
              <w:rFonts w:hint="default" w:ascii="Wingdings" w:hAnsi="Wingdings"/>
              <w:szCs w:val="16"/>
              <w:lang w:val="en-GB"/>
            </w:rPr>
            <w:t xml:space="preserve"> </w:t>
          </w:r>
          <w:r>
            <w:rPr>
              <w:rFonts w:hint="default"/>
              <w:lang w:val="en-GB"/>
            </w:rPr>
            <w:t xml:space="preserve">Article: </w:t>
          </w:r>
          <w:r>
            <w:rPr>
              <w:rFonts w:hint="default"/>
            </w:rPr>
            <w:t>Gold and Guns: How Military Rule, Foreign Deals, and a Looming Crisis Plunder Post-War Tigray</w:t>
          </w:r>
          <w:r>
            <w:tab/>
          </w:r>
          <w:r>
            <w:fldChar w:fldCharType="begin"/>
          </w:r>
          <w:r>
            <w:instrText xml:space="preserve"> PAGEREF _Toc20493 \h </w:instrText>
          </w:r>
          <w:r>
            <w:fldChar w:fldCharType="separate"/>
          </w:r>
          <w:r>
            <w:t>3</w:t>
          </w:r>
          <w:r>
            <w:fldChar w:fldCharType="end"/>
          </w:r>
          <w:r>
            <w:rPr>
              <w:rFonts w:eastAsia="Calibri" w:cs="Times New Roman"/>
              <w:szCs w:val="24"/>
            </w:rPr>
            <w:fldChar w:fldCharType="end"/>
          </w:r>
        </w:p>
        <w:p w14:paraId="55381001">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_Toc18132 </w:instrText>
          </w:r>
          <w:r>
            <w:rPr>
              <w:rFonts w:eastAsia="Calibri" w:cs="Times New Roman"/>
              <w:szCs w:val="24"/>
            </w:rPr>
            <w:fldChar w:fldCharType="separate"/>
          </w:r>
          <w:r>
            <w:rPr>
              <w:rFonts w:hint="default" w:ascii="Wingdings" w:hAnsi="Wingdings"/>
              <w:szCs w:val="16"/>
              <w:lang w:val="en-GB"/>
            </w:rPr>
            <w:t xml:space="preserve"> </w:t>
          </w:r>
          <w:r>
            <w:rPr>
              <w:rFonts w:hint="default"/>
            </w:rPr>
            <w:t>Elders Who Visited Tigray in Response to PM Abiy’s Peace Call Hold Talks with Ministry of Peace</w:t>
          </w:r>
          <w:r>
            <w:tab/>
          </w:r>
          <w:r>
            <w:fldChar w:fldCharType="begin"/>
          </w:r>
          <w:r>
            <w:instrText xml:space="preserve"> PAGEREF _Toc18132 \h </w:instrText>
          </w:r>
          <w:r>
            <w:fldChar w:fldCharType="separate"/>
          </w:r>
          <w:r>
            <w:t>7</w:t>
          </w:r>
          <w:r>
            <w:fldChar w:fldCharType="end"/>
          </w:r>
          <w:r>
            <w:rPr>
              <w:rFonts w:eastAsia="Calibri" w:cs="Times New Roman"/>
              <w:szCs w:val="24"/>
            </w:rPr>
            <w:fldChar w:fldCharType="end"/>
          </w:r>
        </w:p>
        <w:p w14:paraId="01001505">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_Toc27481 </w:instrText>
          </w:r>
          <w:r>
            <w:rPr>
              <w:rFonts w:eastAsia="Calibri" w:cs="Times New Roman"/>
              <w:szCs w:val="24"/>
            </w:rPr>
            <w:fldChar w:fldCharType="separate"/>
          </w:r>
          <w:r>
            <w:rPr>
              <w:rFonts w:hint="default" w:ascii="Wingdings" w:hAnsi="Wingdings"/>
              <w:szCs w:val="16"/>
              <w:lang w:val="en-GB"/>
            </w:rPr>
            <w:t xml:space="preserve"> </w:t>
          </w:r>
          <w:r>
            <w:rPr>
              <w:rFonts w:hint="default"/>
            </w:rPr>
            <w:t>Afar People’s Party accuses Somali Region of violating boundaries with new administrative restructuring</w:t>
          </w:r>
          <w:r>
            <w:tab/>
          </w:r>
          <w:r>
            <w:fldChar w:fldCharType="begin"/>
          </w:r>
          <w:r>
            <w:instrText xml:space="preserve"> PAGEREF _Toc27481 \h </w:instrText>
          </w:r>
          <w:r>
            <w:fldChar w:fldCharType="separate"/>
          </w:r>
          <w:r>
            <w:t>8</w:t>
          </w:r>
          <w:r>
            <w:fldChar w:fldCharType="end"/>
          </w:r>
          <w:r>
            <w:rPr>
              <w:rFonts w:eastAsia="Calibri" w:cs="Times New Roman"/>
              <w:szCs w:val="24"/>
            </w:rPr>
            <w:fldChar w:fldCharType="end"/>
          </w:r>
        </w:p>
        <w:p w14:paraId="69B707E4">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_Toc13930 </w:instrText>
          </w:r>
          <w:r>
            <w:rPr>
              <w:rFonts w:eastAsia="Calibri" w:cs="Times New Roman"/>
              <w:szCs w:val="24"/>
            </w:rPr>
            <w:fldChar w:fldCharType="separate"/>
          </w:r>
          <w:r>
            <w:rPr>
              <w:rFonts w:hint="default" w:ascii="Wingdings" w:hAnsi="Wingdings"/>
              <w:szCs w:val="16"/>
              <w:lang w:val="en-GB"/>
            </w:rPr>
            <w:t xml:space="preserve"> </w:t>
          </w:r>
          <w:r>
            <w:rPr>
              <w:rFonts w:hint="default"/>
            </w:rPr>
            <w:t>Ethiopian speaker engages in global parliamentary dialogue at IPU conference in Geneva</w:t>
          </w:r>
          <w:r>
            <w:tab/>
          </w:r>
          <w:r>
            <w:fldChar w:fldCharType="begin"/>
          </w:r>
          <w:r>
            <w:instrText xml:space="preserve"> PAGEREF _Toc13930 \h </w:instrText>
          </w:r>
          <w:r>
            <w:fldChar w:fldCharType="separate"/>
          </w:r>
          <w:r>
            <w:t>9</w:t>
          </w:r>
          <w:r>
            <w:fldChar w:fldCharType="end"/>
          </w:r>
          <w:r>
            <w:rPr>
              <w:rFonts w:eastAsia="Calibri" w:cs="Times New Roman"/>
              <w:szCs w:val="24"/>
            </w:rPr>
            <w:fldChar w:fldCharType="end"/>
          </w:r>
        </w:p>
        <w:p w14:paraId="7AE18200">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_Toc29130 </w:instrText>
          </w:r>
          <w:r>
            <w:rPr>
              <w:rFonts w:eastAsia="Calibri" w:cs="Times New Roman"/>
              <w:szCs w:val="24"/>
            </w:rPr>
            <w:fldChar w:fldCharType="separate"/>
          </w:r>
          <w:r>
            <w:rPr>
              <w:rFonts w:eastAsia="DengXian Light" w:cs="Times New Roman"/>
              <w:bCs/>
              <w:szCs w:val="24"/>
            </w:rPr>
            <w:t>Horn of Africa</w:t>
          </w:r>
          <w:r>
            <w:tab/>
          </w:r>
          <w:r>
            <w:fldChar w:fldCharType="begin"/>
          </w:r>
          <w:r>
            <w:instrText xml:space="preserve"> PAGEREF _Toc29130 \h </w:instrText>
          </w:r>
          <w:r>
            <w:fldChar w:fldCharType="separate"/>
          </w:r>
          <w:r>
            <w:t>10</w:t>
          </w:r>
          <w:r>
            <w:fldChar w:fldCharType="end"/>
          </w:r>
          <w:r>
            <w:rPr>
              <w:rFonts w:eastAsia="Calibri" w:cs="Times New Roman"/>
              <w:szCs w:val="24"/>
            </w:rPr>
            <w:fldChar w:fldCharType="end"/>
          </w:r>
        </w:p>
        <w:p w14:paraId="1C9DDE28">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_Toc22177 </w:instrText>
          </w:r>
          <w:r>
            <w:rPr>
              <w:rFonts w:eastAsia="Calibri" w:cs="Times New Roman"/>
              <w:szCs w:val="24"/>
            </w:rPr>
            <w:fldChar w:fldCharType="separate"/>
          </w:r>
          <w:r>
            <w:rPr>
              <w:rFonts w:hint="default"/>
              <w:lang w:val="en-GB"/>
            </w:rPr>
            <w:t>Eritrea</w:t>
          </w:r>
          <w:r>
            <w:tab/>
          </w:r>
          <w:r>
            <w:fldChar w:fldCharType="begin"/>
          </w:r>
          <w:r>
            <w:instrText xml:space="preserve"> PAGEREF _Toc22177 \h </w:instrText>
          </w:r>
          <w:r>
            <w:fldChar w:fldCharType="separate"/>
          </w:r>
          <w:r>
            <w:t>10</w:t>
          </w:r>
          <w:r>
            <w:fldChar w:fldCharType="end"/>
          </w:r>
          <w:r>
            <w:rPr>
              <w:rFonts w:eastAsia="Calibri" w:cs="Times New Roman"/>
              <w:szCs w:val="24"/>
            </w:rPr>
            <w:fldChar w:fldCharType="end"/>
          </w:r>
        </w:p>
        <w:p w14:paraId="2A35E5AA">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_Toc23849 </w:instrText>
          </w:r>
          <w:r>
            <w:rPr>
              <w:rFonts w:eastAsia="Calibri" w:cs="Times New Roman"/>
              <w:szCs w:val="24"/>
            </w:rPr>
            <w:fldChar w:fldCharType="separate"/>
          </w:r>
          <w:r>
            <w:rPr>
              <w:rFonts w:hint="default" w:ascii="Wingdings" w:hAnsi="Wingdings"/>
              <w:szCs w:val="16"/>
              <w:lang w:val="en-GB"/>
            </w:rPr>
            <w:t xml:space="preserve"> </w:t>
          </w:r>
          <w:r>
            <w:rPr>
              <w:rFonts w:hint="default"/>
            </w:rPr>
            <w:t>Eritrean Afar National Congress says ready armed struggle from Ethiopia, opens office in Semera</w:t>
          </w:r>
          <w:r>
            <w:tab/>
          </w:r>
          <w:r>
            <w:fldChar w:fldCharType="begin"/>
          </w:r>
          <w:r>
            <w:instrText xml:space="preserve"> PAGEREF _Toc23849 \h </w:instrText>
          </w:r>
          <w:r>
            <w:fldChar w:fldCharType="separate"/>
          </w:r>
          <w:r>
            <w:t>10</w:t>
          </w:r>
          <w:r>
            <w:fldChar w:fldCharType="end"/>
          </w:r>
          <w:r>
            <w:rPr>
              <w:rFonts w:eastAsia="Calibri" w:cs="Times New Roman"/>
              <w:szCs w:val="24"/>
            </w:rPr>
            <w:fldChar w:fldCharType="end"/>
          </w:r>
        </w:p>
        <w:p w14:paraId="384F6ABB">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_Toc31892 </w:instrText>
          </w:r>
          <w:r>
            <w:rPr>
              <w:rFonts w:eastAsia="Calibri" w:cs="Times New Roman"/>
              <w:szCs w:val="24"/>
            </w:rPr>
            <w:fldChar w:fldCharType="separate"/>
          </w:r>
          <w:r>
            <w:rPr>
              <w:szCs w:val="24"/>
            </w:rPr>
            <w:t>S</w:t>
          </w:r>
          <w:r>
            <w:rPr>
              <w:rFonts w:hint="default"/>
              <w:szCs w:val="24"/>
              <w:lang w:val="en-GB"/>
            </w:rPr>
            <w:t>omalia</w:t>
          </w:r>
          <w:r>
            <w:tab/>
          </w:r>
          <w:r>
            <w:fldChar w:fldCharType="begin"/>
          </w:r>
          <w:r>
            <w:instrText xml:space="preserve"> PAGEREF _Toc31892 \h </w:instrText>
          </w:r>
          <w:r>
            <w:fldChar w:fldCharType="separate"/>
          </w:r>
          <w:r>
            <w:t>10</w:t>
          </w:r>
          <w:r>
            <w:fldChar w:fldCharType="end"/>
          </w:r>
          <w:r>
            <w:rPr>
              <w:rFonts w:eastAsia="Calibri" w:cs="Times New Roman"/>
              <w:szCs w:val="24"/>
            </w:rPr>
            <w:fldChar w:fldCharType="end"/>
          </w:r>
        </w:p>
        <w:p w14:paraId="7EDE0798">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_Toc20153 </w:instrText>
          </w:r>
          <w:r>
            <w:rPr>
              <w:rFonts w:eastAsia="Calibri" w:cs="Times New Roman"/>
              <w:szCs w:val="24"/>
            </w:rPr>
            <w:fldChar w:fldCharType="separate"/>
          </w:r>
          <w:r>
            <w:rPr>
              <w:rFonts w:hint="default" w:ascii="Wingdings" w:hAnsi="Wingdings"/>
              <w:szCs w:val="16"/>
              <w:lang w:val="en-GB"/>
            </w:rPr>
            <w:t xml:space="preserve"> </w:t>
          </w:r>
          <w:r>
            <w:rPr>
              <w:rFonts w:hint="default"/>
            </w:rPr>
            <w:t>Somalia and Djibouti sign Status of Forces Agreement to strengthen defense cooperation</w:t>
          </w:r>
          <w:r>
            <w:tab/>
          </w:r>
          <w:r>
            <w:fldChar w:fldCharType="begin"/>
          </w:r>
          <w:r>
            <w:instrText xml:space="preserve"> PAGEREF _Toc20153 \h </w:instrText>
          </w:r>
          <w:r>
            <w:fldChar w:fldCharType="separate"/>
          </w:r>
          <w:r>
            <w:t>10</w:t>
          </w:r>
          <w:r>
            <w:fldChar w:fldCharType="end"/>
          </w:r>
          <w:r>
            <w:rPr>
              <w:rFonts w:eastAsia="Calibri" w:cs="Times New Roman"/>
              <w:szCs w:val="24"/>
            </w:rPr>
            <w:fldChar w:fldCharType="end"/>
          </w:r>
        </w:p>
        <w:p w14:paraId="5E1FDFF8">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_Toc10954 </w:instrText>
          </w:r>
          <w:r>
            <w:rPr>
              <w:rFonts w:eastAsia="Calibri" w:cs="Times New Roman"/>
              <w:szCs w:val="24"/>
            </w:rPr>
            <w:fldChar w:fldCharType="separate"/>
          </w:r>
          <w:r>
            <w:rPr>
              <w:rFonts w:hint="default" w:ascii="Wingdings" w:hAnsi="Wingdings"/>
              <w:szCs w:val="16"/>
              <w:lang w:val="en-GB"/>
            </w:rPr>
            <w:t xml:space="preserve"> </w:t>
          </w:r>
          <w:r>
            <w:rPr>
              <w:rFonts w:hint="default"/>
            </w:rPr>
            <w:t>Somali PM meets new AU mission chief, reaffirms commitment to terrorism fight and security transition</w:t>
          </w:r>
          <w:r>
            <w:tab/>
          </w:r>
          <w:r>
            <w:fldChar w:fldCharType="begin"/>
          </w:r>
          <w:r>
            <w:instrText xml:space="preserve"> PAGEREF _Toc10954 \h </w:instrText>
          </w:r>
          <w:r>
            <w:fldChar w:fldCharType="separate"/>
          </w:r>
          <w:r>
            <w:t>11</w:t>
          </w:r>
          <w:r>
            <w:fldChar w:fldCharType="end"/>
          </w:r>
          <w:r>
            <w:rPr>
              <w:rFonts w:eastAsia="Calibri" w:cs="Times New Roman"/>
              <w:szCs w:val="24"/>
            </w:rPr>
            <w:fldChar w:fldCharType="end"/>
          </w:r>
        </w:p>
        <w:p w14:paraId="2F18C101">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_Toc13319 </w:instrText>
          </w:r>
          <w:r>
            <w:rPr>
              <w:rFonts w:eastAsia="Calibri" w:cs="Times New Roman"/>
              <w:szCs w:val="24"/>
            </w:rPr>
            <w:fldChar w:fldCharType="separate"/>
          </w:r>
          <w:r>
            <w:rPr>
              <w:rFonts w:hint="default" w:ascii="Wingdings" w:hAnsi="Wingdings"/>
              <w:szCs w:val="16"/>
              <w:lang w:val="en-GB"/>
            </w:rPr>
            <w:t xml:space="preserve"> </w:t>
          </w:r>
          <w:r>
            <w:rPr>
              <w:rFonts w:hint="default"/>
            </w:rPr>
            <w:t>Puntland leader warns federal government over Gedo conflict, cites risk of national collapse</w:t>
          </w:r>
          <w:r>
            <w:tab/>
          </w:r>
          <w:r>
            <w:fldChar w:fldCharType="begin"/>
          </w:r>
          <w:r>
            <w:instrText xml:space="preserve"> PAGEREF _Toc13319 \h </w:instrText>
          </w:r>
          <w:r>
            <w:fldChar w:fldCharType="separate"/>
          </w:r>
          <w:r>
            <w:t>12</w:t>
          </w:r>
          <w:r>
            <w:fldChar w:fldCharType="end"/>
          </w:r>
          <w:r>
            <w:rPr>
              <w:rFonts w:eastAsia="Calibri" w:cs="Times New Roman"/>
              <w:szCs w:val="24"/>
            </w:rPr>
            <w:fldChar w:fldCharType="end"/>
          </w:r>
        </w:p>
        <w:p w14:paraId="50457E8F">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_Toc16693 </w:instrText>
          </w:r>
          <w:r>
            <w:rPr>
              <w:rFonts w:eastAsia="Calibri" w:cs="Times New Roman"/>
              <w:szCs w:val="24"/>
            </w:rPr>
            <w:fldChar w:fldCharType="separate"/>
          </w:r>
          <w:r>
            <w:t>Sudan</w:t>
          </w:r>
          <w:r>
            <w:tab/>
          </w:r>
          <w:r>
            <w:fldChar w:fldCharType="begin"/>
          </w:r>
          <w:r>
            <w:instrText xml:space="preserve"> PAGEREF _Toc16693 \h </w:instrText>
          </w:r>
          <w:r>
            <w:fldChar w:fldCharType="separate"/>
          </w:r>
          <w:r>
            <w:t>13</w:t>
          </w:r>
          <w:r>
            <w:fldChar w:fldCharType="end"/>
          </w:r>
          <w:r>
            <w:rPr>
              <w:rFonts w:eastAsia="Calibri" w:cs="Times New Roman"/>
              <w:szCs w:val="24"/>
            </w:rPr>
            <w:fldChar w:fldCharType="end"/>
          </w:r>
        </w:p>
        <w:p w14:paraId="673ABB22">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_Toc23406 </w:instrText>
          </w:r>
          <w:r>
            <w:rPr>
              <w:rFonts w:eastAsia="Calibri" w:cs="Times New Roman"/>
              <w:szCs w:val="24"/>
            </w:rPr>
            <w:fldChar w:fldCharType="separate"/>
          </w:r>
          <w:r>
            <w:rPr>
              <w:rFonts w:hint="default" w:ascii="Wingdings" w:hAnsi="Wingdings"/>
              <w:szCs w:val="16"/>
              <w:lang w:val="en-GB"/>
            </w:rPr>
            <w:t xml:space="preserve"> </w:t>
          </w:r>
          <w:r>
            <w:rPr>
              <w:rFonts w:hint="default"/>
            </w:rPr>
            <w:t>Sudanese groups warn of ‘annihilation’ in besieged El Fasher, demand aid access</w:t>
          </w:r>
          <w:r>
            <w:tab/>
          </w:r>
          <w:r>
            <w:fldChar w:fldCharType="begin"/>
          </w:r>
          <w:r>
            <w:instrText xml:space="preserve"> PAGEREF _Toc23406 \h </w:instrText>
          </w:r>
          <w:r>
            <w:fldChar w:fldCharType="separate"/>
          </w:r>
          <w:r>
            <w:t>13</w:t>
          </w:r>
          <w:r>
            <w:fldChar w:fldCharType="end"/>
          </w:r>
          <w:r>
            <w:rPr>
              <w:rFonts w:eastAsia="Calibri" w:cs="Times New Roman"/>
              <w:szCs w:val="24"/>
            </w:rPr>
            <w:fldChar w:fldCharType="end"/>
          </w:r>
        </w:p>
        <w:p w14:paraId="62CBB745">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_Toc21033 </w:instrText>
          </w:r>
          <w:r>
            <w:rPr>
              <w:rFonts w:eastAsia="Calibri" w:cs="Times New Roman"/>
              <w:szCs w:val="24"/>
            </w:rPr>
            <w:fldChar w:fldCharType="separate"/>
          </w:r>
          <w:r>
            <w:rPr>
              <w:rFonts w:hint="default" w:ascii="Wingdings" w:hAnsi="Wingdings"/>
              <w:szCs w:val="16"/>
              <w:lang w:val="en-GB"/>
            </w:rPr>
            <w:t xml:space="preserve"> </w:t>
          </w:r>
          <w:r>
            <w:rPr>
              <w:rFonts w:hint="default"/>
            </w:rPr>
            <w:t>Sudan urges AU to lift suspension, cites new civilian government</w:t>
          </w:r>
          <w:r>
            <w:rPr>
              <w:rFonts w:hint="default"/>
              <w:lang w:val="en-GB"/>
            </w:rPr>
            <w:t xml:space="preserve"> </w:t>
          </w:r>
          <w:r>
            <w:tab/>
          </w:r>
          <w:r>
            <w:fldChar w:fldCharType="begin"/>
          </w:r>
          <w:r>
            <w:instrText xml:space="preserve"> PAGEREF _Toc21033 \h </w:instrText>
          </w:r>
          <w:r>
            <w:fldChar w:fldCharType="separate"/>
          </w:r>
          <w:r>
            <w:t>13</w:t>
          </w:r>
          <w:r>
            <w:fldChar w:fldCharType="end"/>
          </w:r>
          <w:r>
            <w:rPr>
              <w:rFonts w:eastAsia="Calibri" w:cs="Times New Roman"/>
              <w:szCs w:val="24"/>
            </w:rPr>
            <w:fldChar w:fldCharType="end"/>
          </w:r>
        </w:p>
        <w:p w14:paraId="74F60633">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_Toc15794 </w:instrText>
          </w:r>
          <w:r>
            <w:rPr>
              <w:rFonts w:eastAsia="Calibri" w:cs="Times New Roman"/>
              <w:szCs w:val="24"/>
            </w:rPr>
            <w:fldChar w:fldCharType="separate"/>
          </w:r>
          <w:r>
            <w:rPr>
              <w:rFonts w:hint="default" w:ascii="Wingdings" w:hAnsi="Wingdings"/>
              <w:szCs w:val="16"/>
              <w:lang w:val="en-GB"/>
            </w:rPr>
            <w:t xml:space="preserve"> </w:t>
          </w:r>
          <w:r>
            <w:rPr>
              <w:rFonts w:hint="default"/>
            </w:rPr>
            <w:t>Egypt rejects parallel Sudan government, backs state sovereignty</w:t>
          </w:r>
          <w:r>
            <w:tab/>
          </w:r>
          <w:r>
            <w:fldChar w:fldCharType="begin"/>
          </w:r>
          <w:r>
            <w:instrText xml:space="preserve"> PAGEREF _Toc15794 \h </w:instrText>
          </w:r>
          <w:r>
            <w:fldChar w:fldCharType="separate"/>
          </w:r>
          <w:r>
            <w:t>14</w:t>
          </w:r>
          <w:r>
            <w:fldChar w:fldCharType="end"/>
          </w:r>
          <w:r>
            <w:rPr>
              <w:rFonts w:eastAsia="Calibri" w:cs="Times New Roman"/>
              <w:szCs w:val="24"/>
            </w:rPr>
            <w:fldChar w:fldCharType="end"/>
          </w:r>
        </w:p>
        <w:p w14:paraId="3B3D1223">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_Toc27673 </w:instrText>
          </w:r>
          <w:r>
            <w:rPr>
              <w:rFonts w:eastAsia="Calibri" w:cs="Times New Roman"/>
              <w:szCs w:val="24"/>
            </w:rPr>
            <w:fldChar w:fldCharType="separate"/>
          </w:r>
          <w:r>
            <w:rPr>
              <w:rFonts w:hint="default"/>
              <w:lang w:val="en-GB"/>
            </w:rPr>
            <w:t>South Sudan</w:t>
          </w:r>
          <w:r>
            <w:tab/>
          </w:r>
          <w:r>
            <w:fldChar w:fldCharType="begin"/>
          </w:r>
          <w:r>
            <w:instrText xml:space="preserve"> PAGEREF _Toc27673 \h </w:instrText>
          </w:r>
          <w:r>
            <w:fldChar w:fldCharType="separate"/>
          </w:r>
          <w:r>
            <w:t>14</w:t>
          </w:r>
          <w:r>
            <w:fldChar w:fldCharType="end"/>
          </w:r>
          <w:r>
            <w:rPr>
              <w:rFonts w:eastAsia="Calibri" w:cs="Times New Roman"/>
              <w:szCs w:val="24"/>
            </w:rPr>
            <w:fldChar w:fldCharType="end"/>
          </w:r>
        </w:p>
        <w:p w14:paraId="32FFD028">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_Toc11601 </w:instrText>
          </w:r>
          <w:r>
            <w:rPr>
              <w:rFonts w:eastAsia="Calibri" w:cs="Times New Roman"/>
              <w:szCs w:val="24"/>
            </w:rPr>
            <w:fldChar w:fldCharType="separate"/>
          </w:r>
          <w:r>
            <w:rPr>
              <w:rFonts w:hint="default" w:ascii="Wingdings" w:hAnsi="Wingdings"/>
              <w:szCs w:val="16"/>
              <w:lang w:val="en-GB"/>
            </w:rPr>
            <w:t xml:space="preserve"> </w:t>
          </w:r>
          <w:r>
            <w:rPr>
              <w:rFonts w:hint="default"/>
              <w:lang w:val="en-GB"/>
            </w:rPr>
            <w:t xml:space="preserve">South Sudan defends UAE-funded hospital near Sudan border </w:t>
          </w:r>
          <w:r>
            <w:tab/>
          </w:r>
          <w:r>
            <w:fldChar w:fldCharType="begin"/>
          </w:r>
          <w:r>
            <w:instrText xml:space="preserve"> PAGEREF _Toc11601 \h </w:instrText>
          </w:r>
          <w:r>
            <w:fldChar w:fldCharType="separate"/>
          </w:r>
          <w:r>
            <w:t>14</w:t>
          </w:r>
          <w:r>
            <w:fldChar w:fldCharType="end"/>
          </w:r>
          <w:r>
            <w:rPr>
              <w:rFonts w:eastAsia="Calibri" w:cs="Times New Roman"/>
              <w:szCs w:val="24"/>
            </w:rPr>
            <w:fldChar w:fldCharType="end"/>
          </w:r>
        </w:p>
        <w:p w14:paraId="2DBBFCB4">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_Toc26131 </w:instrText>
          </w:r>
          <w:r>
            <w:rPr>
              <w:rFonts w:eastAsia="Calibri" w:cs="Times New Roman"/>
              <w:szCs w:val="24"/>
            </w:rPr>
            <w:fldChar w:fldCharType="separate"/>
          </w:r>
          <w:r>
            <w:rPr>
              <w:rFonts w:eastAsia="DengXian Light" w:cs="Times New Roman"/>
              <w:bCs/>
              <w:szCs w:val="24"/>
            </w:rPr>
            <w:t>Gulf Region and the Middle East</w:t>
          </w:r>
          <w:r>
            <w:tab/>
          </w:r>
          <w:r>
            <w:fldChar w:fldCharType="begin"/>
          </w:r>
          <w:r>
            <w:instrText xml:space="preserve"> PAGEREF _Toc26131 \h </w:instrText>
          </w:r>
          <w:r>
            <w:fldChar w:fldCharType="separate"/>
          </w:r>
          <w:r>
            <w:t>15</w:t>
          </w:r>
          <w:r>
            <w:fldChar w:fldCharType="end"/>
          </w:r>
          <w:r>
            <w:rPr>
              <w:rFonts w:eastAsia="Calibri" w:cs="Times New Roman"/>
              <w:szCs w:val="24"/>
            </w:rPr>
            <w:fldChar w:fldCharType="end"/>
          </w:r>
        </w:p>
        <w:p w14:paraId="1B958622">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_Toc24957 </w:instrText>
          </w:r>
          <w:r>
            <w:rPr>
              <w:rFonts w:eastAsia="Calibri" w:cs="Times New Roman"/>
              <w:szCs w:val="24"/>
            </w:rPr>
            <w:fldChar w:fldCharType="separate"/>
          </w:r>
          <w:r>
            <w:t>Egypt</w:t>
          </w:r>
          <w:r>
            <w:tab/>
          </w:r>
          <w:r>
            <w:fldChar w:fldCharType="begin"/>
          </w:r>
          <w:r>
            <w:instrText xml:space="preserve"> PAGEREF _Toc24957 \h </w:instrText>
          </w:r>
          <w:r>
            <w:fldChar w:fldCharType="separate"/>
          </w:r>
          <w:r>
            <w:t>15</w:t>
          </w:r>
          <w:r>
            <w:fldChar w:fldCharType="end"/>
          </w:r>
          <w:r>
            <w:rPr>
              <w:rFonts w:eastAsia="Calibri" w:cs="Times New Roman"/>
              <w:szCs w:val="24"/>
            </w:rPr>
            <w:fldChar w:fldCharType="end"/>
          </w:r>
        </w:p>
        <w:p w14:paraId="06C61D30">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_Toc27994 </w:instrText>
          </w:r>
          <w:r>
            <w:rPr>
              <w:rFonts w:eastAsia="Calibri" w:cs="Times New Roman"/>
              <w:szCs w:val="24"/>
            </w:rPr>
            <w:fldChar w:fldCharType="separate"/>
          </w:r>
          <w:r>
            <w:rPr>
              <w:rFonts w:hint="default" w:ascii="Wingdings" w:hAnsi="Wingdings"/>
              <w:szCs w:val="16"/>
              <w:lang w:val="en-GB"/>
            </w:rPr>
            <w:t xml:space="preserve"> </w:t>
          </w:r>
          <w:r>
            <w:rPr>
              <w:rFonts w:hint="default"/>
            </w:rPr>
            <w:t>Rubio, Egyptian foreign minister discuss Gaza, Sudan</w:t>
          </w:r>
          <w:r>
            <w:rPr>
              <w:rFonts w:hint="default"/>
              <w:lang w:val="en-GB"/>
            </w:rPr>
            <w:t xml:space="preserve"> </w:t>
          </w:r>
          <w:r>
            <w:tab/>
          </w:r>
          <w:r>
            <w:fldChar w:fldCharType="begin"/>
          </w:r>
          <w:r>
            <w:instrText xml:space="preserve"> PAGEREF _Toc27994 \h </w:instrText>
          </w:r>
          <w:r>
            <w:fldChar w:fldCharType="separate"/>
          </w:r>
          <w:r>
            <w:t>15</w:t>
          </w:r>
          <w:r>
            <w:fldChar w:fldCharType="end"/>
          </w:r>
          <w:r>
            <w:rPr>
              <w:rFonts w:eastAsia="Calibri" w:cs="Times New Roman"/>
              <w:szCs w:val="24"/>
            </w:rPr>
            <w:fldChar w:fldCharType="end"/>
          </w:r>
        </w:p>
        <w:p w14:paraId="6077B0AA">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_Toc16870 </w:instrText>
          </w:r>
          <w:r>
            <w:rPr>
              <w:rFonts w:eastAsia="Calibri" w:cs="Times New Roman"/>
              <w:szCs w:val="24"/>
            </w:rPr>
            <w:fldChar w:fldCharType="separate"/>
          </w:r>
          <w:r>
            <w:t>Iran</w:t>
          </w:r>
          <w:r>
            <w:tab/>
          </w:r>
          <w:r>
            <w:fldChar w:fldCharType="begin"/>
          </w:r>
          <w:r>
            <w:instrText xml:space="preserve"> PAGEREF _Toc16870 \h </w:instrText>
          </w:r>
          <w:r>
            <w:fldChar w:fldCharType="separate"/>
          </w:r>
          <w:r>
            <w:t>16</w:t>
          </w:r>
          <w:r>
            <w:fldChar w:fldCharType="end"/>
          </w:r>
          <w:r>
            <w:rPr>
              <w:rFonts w:eastAsia="Calibri" w:cs="Times New Roman"/>
              <w:szCs w:val="24"/>
            </w:rPr>
            <w:fldChar w:fldCharType="end"/>
          </w:r>
        </w:p>
        <w:p w14:paraId="7FFF2625">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_Toc17547 </w:instrText>
          </w:r>
          <w:r>
            <w:rPr>
              <w:rFonts w:eastAsia="Calibri" w:cs="Times New Roman"/>
              <w:szCs w:val="24"/>
            </w:rPr>
            <w:fldChar w:fldCharType="separate"/>
          </w:r>
          <w:r>
            <w:rPr>
              <w:rFonts w:hint="default" w:ascii="Wingdings" w:hAnsi="Wingdings"/>
              <w:szCs w:val="16"/>
              <w:lang w:val="en-GB"/>
            </w:rPr>
            <w:t xml:space="preserve"> </w:t>
          </w:r>
          <w:r>
            <w:rPr>
              <w:rFonts w:hint="default"/>
            </w:rPr>
            <w:t>Iran demands US compensation before nuclear talks can resume</w:t>
          </w:r>
          <w:r>
            <w:tab/>
          </w:r>
          <w:r>
            <w:fldChar w:fldCharType="begin"/>
          </w:r>
          <w:r>
            <w:instrText xml:space="preserve"> PAGEREF _Toc17547 \h </w:instrText>
          </w:r>
          <w:r>
            <w:fldChar w:fldCharType="separate"/>
          </w:r>
          <w:r>
            <w:t>16</w:t>
          </w:r>
          <w:r>
            <w:fldChar w:fldCharType="end"/>
          </w:r>
          <w:r>
            <w:rPr>
              <w:rFonts w:eastAsia="Calibri" w:cs="Times New Roman"/>
              <w:szCs w:val="24"/>
            </w:rPr>
            <w:fldChar w:fldCharType="end"/>
          </w:r>
        </w:p>
        <w:p w14:paraId="21DBF5BF">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_Toc16816 </w:instrText>
          </w:r>
          <w:r>
            <w:rPr>
              <w:rFonts w:eastAsia="Calibri" w:cs="Times New Roman"/>
              <w:szCs w:val="24"/>
            </w:rPr>
            <w:fldChar w:fldCharType="separate"/>
          </w:r>
          <w:r>
            <w:t>Israel</w:t>
          </w:r>
          <w:r>
            <w:tab/>
          </w:r>
          <w:r>
            <w:fldChar w:fldCharType="begin"/>
          </w:r>
          <w:r>
            <w:instrText xml:space="preserve"> PAGEREF _Toc16816 \h </w:instrText>
          </w:r>
          <w:r>
            <w:fldChar w:fldCharType="separate"/>
          </w:r>
          <w:r>
            <w:t>17</w:t>
          </w:r>
          <w:r>
            <w:fldChar w:fldCharType="end"/>
          </w:r>
          <w:r>
            <w:rPr>
              <w:rFonts w:eastAsia="Calibri" w:cs="Times New Roman"/>
              <w:szCs w:val="24"/>
            </w:rPr>
            <w:fldChar w:fldCharType="end"/>
          </w:r>
        </w:p>
        <w:p w14:paraId="740AD34D">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_Toc26929 </w:instrText>
          </w:r>
          <w:r>
            <w:rPr>
              <w:rFonts w:eastAsia="Calibri" w:cs="Times New Roman"/>
              <w:szCs w:val="24"/>
            </w:rPr>
            <w:fldChar w:fldCharType="separate"/>
          </w:r>
          <w:r>
            <w:rPr>
              <w:rFonts w:hint="default" w:ascii="Wingdings" w:hAnsi="Wingdings"/>
              <w:szCs w:val="16"/>
              <w:lang w:val="en-GB"/>
            </w:rPr>
            <w:t xml:space="preserve"> </w:t>
          </w:r>
          <w:r>
            <w:rPr>
              <w:rFonts w:hint="default"/>
            </w:rPr>
            <w:t>Ben-Gvir slams German FM over Palestine statehood recognition plans</w:t>
          </w:r>
          <w:r>
            <w:tab/>
          </w:r>
          <w:r>
            <w:fldChar w:fldCharType="begin"/>
          </w:r>
          <w:r>
            <w:instrText xml:space="preserve"> PAGEREF _Toc26929 \h </w:instrText>
          </w:r>
          <w:r>
            <w:fldChar w:fldCharType="separate"/>
          </w:r>
          <w:r>
            <w:t>17</w:t>
          </w:r>
          <w:r>
            <w:fldChar w:fldCharType="end"/>
          </w:r>
          <w:r>
            <w:rPr>
              <w:rFonts w:eastAsia="Calibri" w:cs="Times New Roman"/>
              <w:szCs w:val="24"/>
            </w:rPr>
            <w:fldChar w:fldCharType="end"/>
          </w:r>
        </w:p>
        <w:p w14:paraId="2FC49454">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_Toc19281 </w:instrText>
          </w:r>
          <w:r>
            <w:rPr>
              <w:rFonts w:eastAsia="Calibri" w:cs="Times New Roman"/>
              <w:szCs w:val="24"/>
            </w:rPr>
            <w:fldChar w:fldCharType="separate"/>
          </w:r>
          <w:r>
            <w:rPr>
              <w:rFonts w:hint="default" w:ascii="Wingdings" w:hAnsi="Wingdings"/>
              <w:szCs w:val="16"/>
              <w:lang w:val="en-GB"/>
            </w:rPr>
            <w:t xml:space="preserve"> </w:t>
          </w:r>
          <w:r>
            <w:rPr>
              <w:rFonts w:hint="default"/>
            </w:rPr>
            <w:t>Germany warns Israel of “diplomatic isolation” over Gaza humanitarian crisis</w:t>
          </w:r>
          <w:r>
            <w:tab/>
          </w:r>
          <w:r>
            <w:fldChar w:fldCharType="begin"/>
          </w:r>
          <w:r>
            <w:instrText xml:space="preserve"> PAGEREF _Toc19281 \h </w:instrText>
          </w:r>
          <w:r>
            <w:fldChar w:fldCharType="separate"/>
          </w:r>
          <w:r>
            <w:t>18</w:t>
          </w:r>
          <w:r>
            <w:fldChar w:fldCharType="end"/>
          </w:r>
          <w:r>
            <w:rPr>
              <w:rFonts w:eastAsia="Calibri" w:cs="Times New Roman"/>
              <w:szCs w:val="24"/>
            </w:rPr>
            <w:fldChar w:fldCharType="end"/>
          </w:r>
        </w:p>
        <w:p w14:paraId="782B51A0">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_Toc15030 </w:instrText>
          </w:r>
          <w:r>
            <w:rPr>
              <w:rFonts w:eastAsia="Calibri" w:cs="Times New Roman"/>
              <w:szCs w:val="24"/>
            </w:rPr>
            <w:fldChar w:fldCharType="separate"/>
          </w:r>
          <w:r>
            <w:t>Palestine</w:t>
          </w:r>
          <w:r>
            <w:tab/>
          </w:r>
          <w:r>
            <w:fldChar w:fldCharType="begin"/>
          </w:r>
          <w:r>
            <w:instrText xml:space="preserve"> PAGEREF _Toc15030 \h </w:instrText>
          </w:r>
          <w:r>
            <w:fldChar w:fldCharType="separate"/>
          </w:r>
          <w:r>
            <w:t>18</w:t>
          </w:r>
          <w:r>
            <w:fldChar w:fldCharType="end"/>
          </w:r>
          <w:r>
            <w:rPr>
              <w:rFonts w:eastAsia="Calibri" w:cs="Times New Roman"/>
              <w:szCs w:val="24"/>
            </w:rPr>
            <w:fldChar w:fldCharType="end"/>
          </w:r>
        </w:p>
        <w:p w14:paraId="630224AD">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_Toc3115 </w:instrText>
          </w:r>
          <w:r>
            <w:rPr>
              <w:rFonts w:eastAsia="Calibri" w:cs="Times New Roman"/>
              <w:szCs w:val="24"/>
            </w:rPr>
            <w:fldChar w:fldCharType="separate"/>
          </w:r>
          <w:r>
            <w:rPr>
              <w:rFonts w:hint="default" w:ascii="Wingdings" w:hAnsi="Wingdings"/>
              <w:szCs w:val="16"/>
              <w:lang w:val="en-GB"/>
            </w:rPr>
            <w:t xml:space="preserve"> </w:t>
          </w:r>
          <w:r>
            <w:rPr>
              <w:rFonts w:hint="default"/>
            </w:rPr>
            <w:t>Over 18,500 children killed by Israel in Gaza since October 2023: Health Ministry</w:t>
          </w:r>
          <w:r>
            <w:tab/>
          </w:r>
          <w:r>
            <w:fldChar w:fldCharType="begin"/>
          </w:r>
          <w:r>
            <w:instrText xml:space="preserve"> PAGEREF _Toc3115 \h </w:instrText>
          </w:r>
          <w:r>
            <w:fldChar w:fldCharType="separate"/>
          </w:r>
          <w:r>
            <w:t>18</w:t>
          </w:r>
          <w:r>
            <w:fldChar w:fldCharType="end"/>
          </w:r>
          <w:r>
            <w:rPr>
              <w:rFonts w:eastAsia="Calibri" w:cs="Times New Roman"/>
              <w:szCs w:val="24"/>
            </w:rPr>
            <w:fldChar w:fldCharType="end"/>
          </w:r>
        </w:p>
        <w:p w14:paraId="047D64F6">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_Toc22029 </w:instrText>
          </w:r>
          <w:r>
            <w:rPr>
              <w:rFonts w:eastAsia="Calibri" w:cs="Times New Roman"/>
              <w:szCs w:val="24"/>
            </w:rPr>
            <w:fldChar w:fldCharType="separate"/>
          </w:r>
          <w:r>
            <w:rPr>
              <w:rFonts w:hint="default" w:ascii="Wingdings" w:hAnsi="Wingdings"/>
              <w:szCs w:val="16"/>
              <w:lang w:val="en-GB"/>
            </w:rPr>
            <w:t xml:space="preserve"> </w:t>
          </w:r>
          <w:r>
            <w:rPr>
              <w:rFonts w:hint="default"/>
            </w:rPr>
            <w:t>Palestine slams US sanctions as ‘blatant support’ for Israeli occupation</w:t>
          </w:r>
          <w:r>
            <w:tab/>
          </w:r>
          <w:r>
            <w:fldChar w:fldCharType="begin"/>
          </w:r>
          <w:r>
            <w:instrText xml:space="preserve"> PAGEREF _Toc22029 \h </w:instrText>
          </w:r>
          <w:r>
            <w:fldChar w:fldCharType="separate"/>
          </w:r>
          <w:r>
            <w:t>19</w:t>
          </w:r>
          <w:r>
            <w:fldChar w:fldCharType="end"/>
          </w:r>
          <w:r>
            <w:rPr>
              <w:rFonts w:eastAsia="Calibri" w:cs="Times New Roman"/>
              <w:szCs w:val="24"/>
            </w:rPr>
            <w:fldChar w:fldCharType="end"/>
          </w:r>
        </w:p>
        <w:p w14:paraId="277C963E">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_Toc9753 </w:instrText>
          </w:r>
          <w:r>
            <w:rPr>
              <w:rFonts w:eastAsia="Calibri" w:cs="Times New Roman"/>
              <w:szCs w:val="24"/>
            </w:rPr>
            <w:fldChar w:fldCharType="separate"/>
          </w:r>
          <w:r>
            <w:rPr>
              <w:rFonts w:hint="default" w:ascii="Wingdings" w:hAnsi="Wingdings"/>
              <w:szCs w:val="16"/>
              <w:lang w:val="en-GB"/>
            </w:rPr>
            <w:t xml:space="preserve"> </w:t>
          </w:r>
          <w:r>
            <w:rPr>
              <w:rFonts w:hint="default"/>
            </w:rPr>
            <w:t>Hamas official: US envoy’s Gaza visit is publicity stunt</w:t>
          </w:r>
          <w:r>
            <w:rPr>
              <w:rFonts w:hint="default"/>
              <w:lang w:val="en-GB"/>
            </w:rPr>
            <w:t xml:space="preserve"> </w:t>
          </w:r>
          <w:r>
            <w:tab/>
          </w:r>
          <w:r>
            <w:fldChar w:fldCharType="begin"/>
          </w:r>
          <w:r>
            <w:instrText xml:space="preserve"> PAGEREF _Toc9753 \h </w:instrText>
          </w:r>
          <w:r>
            <w:fldChar w:fldCharType="separate"/>
          </w:r>
          <w:r>
            <w:t>19</w:t>
          </w:r>
          <w:r>
            <w:fldChar w:fldCharType="end"/>
          </w:r>
          <w:r>
            <w:rPr>
              <w:rFonts w:eastAsia="Calibri" w:cs="Times New Roman"/>
              <w:szCs w:val="24"/>
            </w:rPr>
            <w:fldChar w:fldCharType="end"/>
          </w:r>
        </w:p>
        <w:p w14:paraId="7A40EBAC">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_Toc13200 </w:instrText>
          </w:r>
          <w:r>
            <w:rPr>
              <w:rFonts w:eastAsia="Calibri" w:cs="Times New Roman"/>
              <w:szCs w:val="24"/>
            </w:rPr>
            <w:fldChar w:fldCharType="separate"/>
          </w:r>
          <w:r>
            <w:t>Turkey</w:t>
          </w:r>
          <w:r>
            <w:tab/>
          </w:r>
          <w:r>
            <w:fldChar w:fldCharType="begin"/>
          </w:r>
          <w:r>
            <w:instrText xml:space="preserve"> PAGEREF _Toc13200 \h </w:instrText>
          </w:r>
          <w:r>
            <w:fldChar w:fldCharType="separate"/>
          </w:r>
          <w:r>
            <w:t>20</w:t>
          </w:r>
          <w:r>
            <w:fldChar w:fldCharType="end"/>
          </w:r>
          <w:r>
            <w:rPr>
              <w:rFonts w:eastAsia="Calibri" w:cs="Times New Roman"/>
              <w:szCs w:val="24"/>
            </w:rPr>
            <w:fldChar w:fldCharType="end"/>
          </w:r>
        </w:p>
        <w:p w14:paraId="779E317D">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_Toc15948 </w:instrText>
          </w:r>
          <w:r>
            <w:rPr>
              <w:rFonts w:eastAsia="Calibri" w:cs="Times New Roman"/>
              <w:szCs w:val="24"/>
            </w:rPr>
            <w:fldChar w:fldCharType="separate"/>
          </w:r>
          <w:r>
            <w:rPr>
              <w:rFonts w:hint="default" w:ascii="Wingdings" w:hAnsi="Wingdings"/>
              <w:szCs w:val="16"/>
              <w:lang w:val="en-GB"/>
            </w:rPr>
            <w:t xml:space="preserve"> </w:t>
          </w:r>
          <w:r>
            <w:rPr>
              <w:rFonts w:hint="default"/>
            </w:rPr>
            <w:t>Turkish President vows to increase pressure on Israel to prevent humanitarian disaster in Gaza</w:t>
          </w:r>
          <w:r>
            <w:rPr>
              <w:rFonts w:hint="default"/>
              <w:lang w:val="en-GB"/>
            </w:rPr>
            <w:t xml:space="preserve"> </w:t>
          </w:r>
          <w:r>
            <w:tab/>
          </w:r>
          <w:r>
            <w:fldChar w:fldCharType="begin"/>
          </w:r>
          <w:r>
            <w:instrText xml:space="preserve"> PAGEREF _Toc15948 \h </w:instrText>
          </w:r>
          <w:r>
            <w:fldChar w:fldCharType="separate"/>
          </w:r>
          <w:r>
            <w:t>20</w:t>
          </w:r>
          <w:r>
            <w:fldChar w:fldCharType="end"/>
          </w:r>
          <w:r>
            <w:rPr>
              <w:rFonts w:eastAsia="Calibri" w:cs="Times New Roman"/>
              <w:szCs w:val="24"/>
            </w:rPr>
            <w:fldChar w:fldCharType="end"/>
          </w:r>
        </w:p>
        <w:p w14:paraId="699EA679">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_Toc16610 </w:instrText>
          </w:r>
          <w:r>
            <w:rPr>
              <w:rFonts w:eastAsia="Calibri" w:cs="Times New Roman"/>
              <w:szCs w:val="24"/>
            </w:rPr>
            <w:fldChar w:fldCharType="separate"/>
          </w:r>
          <w:r>
            <w:rPr>
              <w:rFonts w:eastAsia="DengXian Light" w:cs="Times New Roman"/>
              <w:bCs/>
              <w:szCs w:val="24"/>
            </w:rPr>
            <w:t>Global Powers</w:t>
          </w:r>
          <w:r>
            <w:tab/>
          </w:r>
          <w:r>
            <w:fldChar w:fldCharType="begin"/>
          </w:r>
          <w:r>
            <w:instrText xml:space="preserve"> PAGEREF _Toc16610 \h </w:instrText>
          </w:r>
          <w:r>
            <w:fldChar w:fldCharType="separate"/>
          </w:r>
          <w:r>
            <w:t>20</w:t>
          </w:r>
          <w:r>
            <w:fldChar w:fldCharType="end"/>
          </w:r>
          <w:r>
            <w:rPr>
              <w:rFonts w:eastAsia="Calibri" w:cs="Times New Roman"/>
              <w:szCs w:val="24"/>
            </w:rPr>
            <w:fldChar w:fldCharType="end"/>
          </w:r>
        </w:p>
        <w:p w14:paraId="15262AA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_Toc23596 </w:instrText>
          </w:r>
          <w:r>
            <w:rPr>
              <w:rFonts w:eastAsia="Calibri" w:cs="Times New Roman"/>
              <w:szCs w:val="24"/>
            </w:rPr>
            <w:fldChar w:fldCharType="separate"/>
          </w:r>
          <w:r>
            <w:rPr>
              <w:rFonts w:hint="default"/>
              <w:lang w:val="en-GB" w:eastAsia="zh-CN"/>
            </w:rPr>
            <w:t>US</w:t>
          </w:r>
          <w:r>
            <w:tab/>
          </w:r>
          <w:r>
            <w:fldChar w:fldCharType="begin"/>
          </w:r>
          <w:r>
            <w:instrText xml:space="preserve"> PAGEREF _Toc23596 \h </w:instrText>
          </w:r>
          <w:r>
            <w:fldChar w:fldCharType="separate"/>
          </w:r>
          <w:r>
            <w:t>20</w:t>
          </w:r>
          <w:r>
            <w:fldChar w:fldCharType="end"/>
          </w:r>
          <w:r>
            <w:rPr>
              <w:rFonts w:eastAsia="Calibri" w:cs="Times New Roman"/>
              <w:szCs w:val="24"/>
            </w:rPr>
            <w:fldChar w:fldCharType="end"/>
          </w:r>
        </w:p>
        <w:p w14:paraId="511DA286">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_Toc16092 </w:instrText>
          </w:r>
          <w:r>
            <w:rPr>
              <w:rFonts w:eastAsia="Calibri" w:cs="Times New Roman"/>
              <w:szCs w:val="24"/>
            </w:rPr>
            <w:fldChar w:fldCharType="separate"/>
          </w:r>
          <w:r>
            <w:rPr>
              <w:rFonts w:hint="default" w:ascii="Wingdings" w:hAnsi="Wingdings"/>
              <w:szCs w:val="16"/>
              <w:lang w:val="en-GB"/>
            </w:rPr>
            <w:t xml:space="preserve"> </w:t>
          </w:r>
          <w:r>
            <w:rPr>
              <w:rFonts w:hint="default"/>
            </w:rPr>
            <w:t>US sanctions Palestine Liberation Organization, Palestinian Authority</w:t>
          </w:r>
          <w:r>
            <w:tab/>
          </w:r>
          <w:r>
            <w:fldChar w:fldCharType="begin"/>
          </w:r>
          <w:r>
            <w:instrText xml:space="preserve"> PAGEREF _Toc16092 \h </w:instrText>
          </w:r>
          <w:r>
            <w:fldChar w:fldCharType="separate"/>
          </w:r>
          <w:r>
            <w:t>20</w:t>
          </w:r>
          <w:r>
            <w:fldChar w:fldCharType="end"/>
          </w:r>
          <w:r>
            <w:rPr>
              <w:rFonts w:eastAsia="Calibri" w:cs="Times New Roman"/>
              <w:szCs w:val="24"/>
            </w:rPr>
            <w:fldChar w:fldCharType="end"/>
          </w:r>
        </w:p>
        <w:p w14:paraId="6679F505">
          <w:pPr>
            <w:spacing w:line="276" w:lineRule="auto"/>
            <w:rPr>
              <w:rFonts w:cs="Times New Roman"/>
              <w:szCs w:val="24"/>
            </w:rPr>
          </w:pPr>
          <w:r>
            <w:rPr>
              <w:rFonts w:eastAsia="Calibri" w:cs="Times New Roman"/>
              <w:szCs w:val="24"/>
            </w:rPr>
            <w:fldChar w:fldCharType="end"/>
          </w:r>
        </w:p>
      </w:sdtContent>
    </w:sdt>
    <w:p w14:paraId="6FB9B148">
      <w:pPr>
        <w:spacing w:line="276" w:lineRule="auto"/>
        <w:rPr>
          <w:rFonts w:hint="default" w:cs="Times New Roman"/>
          <w:szCs w:val="24"/>
          <w:lang w:val="en-GB"/>
        </w:rPr>
      </w:pPr>
      <w:r>
        <w:rPr>
          <w:rFonts w:cs="Times New Roman"/>
          <w:szCs w:val="24"/>
        </w:rPr>
        <w:br w:type="page"/>
      </w:r>
    </w:p>
    <w:p w14:paraId="5F6D74E5">
      <w:pPr>
        <w:spacing w:line="276" w:lineRule="auto"/>
        <w:outlineLvl w:val="0"/>
        <w:rPr>
          <w:rFonts w:eastAsia="DengXian Light" w:cs="Times New Roman"/>
          <w:b/>
          <w:bCs/>
          <w:color w:val="2F5496"/>
          <w:szCs w:val="24"/>
          <w:u w:val="single"/>
        </w:rPr>
      </w:pPr>
      <w:bookmarkStart w:id="0" w:name="_Toc24994"/>
      <w:r>
        <w:rPr>
          <w:rFonts w:eastAsia="DengXian Light" w:cs="Times New Roman"/>
          <w:b/>
          <w:bCs/>
          <w:color w:val="2F5496"/>
          <w:szCs w:val="24"/>
          <w:u w:val="single"/>
        </w:rPr>
        <w:t>Ethiopia</w:t>
      </w:r>
      <w:bookmarkEnd w:id="0"/>
    </w:p>
    <w:p w14:paraId="690D4D66">
      <w:pPr>
        <w:numPr>
          <w:ilvl w:val="0"/>
          <w:numId w:val="1"/>
        </w:numPr>
        <w:spacing w:line="276" w:lineRule="auto"/>
        <w:ind w:left="420" w:leftChars="0" w:hanging="420" w:firstLineChars="0"/>
        <w:rPr>
          <w:rFonts w:hint="default"/>
          <w:szCs w:val="24"/>
        </w:rPr>
      </w:pPr>
      <w:bookmarkStart w:id="1" w:name="_Toc20493"/>
      <w:r>
        <w:rPr>
          <w:rStyle w:val="15"/>
          <w:rFonts w:hint="default"/>
          <w:lang w:val="en-GB"/>
        </w:rPr>
        <w:t xml:space="preserve">Article: </w:t>
      </w:r>
      <w:r>
        <w:rPr>
          <w:rStyle w:val="15"/>
          <w:rFonts w:hint="default"/>
        </w:rPr>
        <w:t>Gold and Guns: How Military Rule, Foreign Deals, and a Looming Crisis Plunder Post-War Tigray</w:t>
      </w:r>
      <w:bookmarkEnd w:id="1"/>
      <w:r>
        <w:rPr>
          <w:rFonts w:hint="default"/>
          <w:szCs w:val="24"/>
          <w:lang w:val="en-GB"/>
        </w:rPr>
        <w:t xml:space="preserve"> </w:t>
      </w:r>
      <w:r>
        <w:rPr>
          <w:rFonts w:hint="default"/>
          <w:szCs w:val="24"/>
        </w:rPr>
        <w:fldChar w:fldCharType="begin"/>
      </w:r>
      <w:r>
        <w:rPr>
          <w:rFonts w:hint="default"/>
          <w:szCs w:val="24"/>
        </w:rPr>
        <w:instrText xml:space="preserve"> HYPERLINK "https://100r.org/2025/07/gold-and-guns-how-military-rule-foreign-deals-and-a-looming-crisis-plunder-post-war-tigray/" </w:instrText>
      </w:r>
      <w:r>
        <w:rPr>
          <w:rFonts w:hint="default"/>
          <w:szCs w:val="24"/>
        </w:rPr>
        <w:fldChar w:fldCharType="separate"/>
      </w:r>
      <w:r>
        <w:rPr>
          <w:rStyle w:val="10"/>
          <w:rFonts w:hint="default"/>
          <w:szCs w:val="24"/>
        </w:rPr>
        <w:t>by</w:t>
      </w:r>
      <w:r>
        <w:rPr>
          <w:rStyle w:val="10"/>
          <w:rFonts w:hint="default"/>
          <w:szCs w:val="24"/>
          <w:lang w:val="en-GB"/>
        </w:rPr>
        <w:t xml:space="preserve"> - </w:t>
      </w:r>
      <w:r>
        <w:rPr>
          <w:rStyle w:val="10"/>
          <w:rFonts w:hint="default"/>
          <w:szCs w:val="24"/>
        </w:rPr>
        <w:t xml:space="preserve"> Kaleab Girma and Ashenafi Endale</w:t>
      </w:r>
      <w:r>
        <w:rPr>
          <w:rFonts w:hint="default"/>
          <w:szCs w:val="24"/>
        </w:rPr>
        <w:fldChar w:fldCharType="end"/>
      </w:r>
    </w:p>
    <w:p w14:paraId="2B531CD1">
      <w:pPr>
        <w:spacing w:line="276" w:lineRule="auto"/>
        <w:rPr>
          <w:rFonts w:hint="default"/>
          <w:szCs w:val="24"/>
        </w:rPr>
      </w:pPr>
      <w:r>
        <w:rPr>
          <w:rFonts w:hint="default"/>
          <w:szCs w:val="24"/>
        </w:rPr>
        <w:t>Kelali is a former soldier turned gold</w:t>
      </w:r>
      <w:bookmarkStart w:id="35" w:name="_GoBack"/>
      <w:bookmarkEnd w:id="35"/>
      <w:r>
        <w:rPr>
          <w:rFonts w:hint="default"/>
          <w:szCs w:val="24"/>
        </w:rPr>
        <w:t xml:space="preserve"> miner, one of thousands navigating life after war in Tigray. A combatant with the Tigray Defense Forces, Kelali fought in the bloody conflict against the federal government. Like many others, his return to civilian life offered no structure, and no resources.</w:t>
      </w:r>
      <w:r>
        <w:rPr>
          <w:rFonts w:hint="default"/>
          <w:szCs w:val="24"/>
          <w:lang w:val="en-GB"/>
        </w:rPr>
        <w:t xml:space="preserve"> </w:t>
      </w:r>
      <w:r>
        <w:rPr>
          <w:rFonts w:hint="default"/>
          <w:szCs w:val="24"/>
        </w:rPr>
        <w:t>“The war destroyed Tigray and our old way of life,” Kelali said. “After the war, there was nothing we could do. And there was nothing the military leadership could offer us in return for our sacrifice or for our future."</w:t>
      </w:r>
      <w:r>
        <w:rPr>
          <w:rFonts w:hint="default"/>
          <w:szCs w:val="24"/>
          <w:lang w:val="en-GB"/>
        </w:rPr>
        <w:t xml:space="preserve"> </w:t>
      </w:r>
      <w:r>
        <w:rPr>
          <w:rFonts w:hint="default"/>
          <w:szCs w:val="24"/>
        </w:rPr>
        <w:t>Kelali, ex-combatant</w:t>
      </w:r>
      <w:r>
        <w:rPr>
          <w:rFonts w:hint="default"/>
          <w:szCs w:val="24"/>
          <w:lang w:val="en-GB"/>
        </w:rPr>
        <w:t xml:space="preserve">: </w:t>
      </w:r>
      <w:r>
        <w:rPr>
          <w:rFonts w:hint="default"/>
          <w:szCs w:val="24"/>
        </w:rPr>
        <w:t>Kelali, who asked to be identified by his first name for his security, is a father in his early thirties, also responsible for caring for his mother. Like Kelali, his younger brother also served in the war.</w:t>
      </w:r>
      <w:r>
        <w:rPr>
          <w:rFonts w:hint="default"/>
          <w:szCs w:val="24"/>
          <w:lang w:val="en-GB"/>
        </w:rPr>
        <w:t xml:space="preserve"> </w:t>
      </w:r>
      <w:r>
        <w:rPr>
          <w:rFonts w:hint="default"/>
          <w:szCs w:val="24"/>
        </w:rPr>
        <w:t>In the last few years, large amounts of gold have been smuggled from Ethiopia’s Tigray region, with an estimated valued of over $2 billion for the 2024/25 fiscal year alone. This figure could rebuild schools, fund hospitals, and revitalize the war-torn region. Instead, it lines the pockets of a few powerful generals and foreign actors.</w:t>
      </w:r>
      <w:r>
        <w:rPr>
          <w:rFonts w:hint="default"/>
          <w:szCs w:val="24"/>
          <w:lang w:val="en-GB"/>
        </w:rPr>
        <w:t xml:space="preserve"> </w:t>
      </w:r>
      <w:r>
        <w:rPr>
          <w:rFonts w:hint="default"/>
          <w:szCs w:val="24"/>
        </w:rPr>
        <w:t>Today, deadly clashes are occurring over these precious resources. Illegal mining has ravaged mountains in Tigray, with miners pouring massive quantities of mercury into rivers, threatening both the environment and public health.</w:t>
      </w:r>
      <w:r>
        <w:rPr>
          <w:rFonts w:hint="default"/>
          <w:szCs w:val="24"/>
          <w:lang w:val="en-GB"/>
        </w:rPr>
        <w:t xml:space="preserve"> </w:t>
      </w:r>
      <w:r>
        <w:rPr>
          <w:rFonts w:hint="default"/>
          <w:szCs w:val="24"/>
        </w:rPr>
        <w:t>Backed by foreign partners and enabled by weak oversight, the system persists—rooted in the war’s legacy and propped up by flows of gold to markets in the United Arab Emirates and elsewhere. The Tigray War, which broke out in November 2020, marked one of the deadliest conflicts in recent African history. It pitted Ethiopia’s federal government under Prime Minister Abiy Ahmed against the Tigray People’s Liberation Front (TPLF), a once-dominant political force.</w:t>
      </w:r>
      <w:r>
        <w:rPr>
          <w:rFonts w:hint="default"/>
          <w:szCs w:val="24"/>
          <w:lang w:val="en-GB"/>
        </w:rPr>
        <w:t xml:space="preserve"> </w:t>
      </w:r>
      <w:r>
        <w:rPr>
          <w:rFonts w:hint="default"/>
          <w:szCs w:val="24"/>
        </w:rPr>
        <w:t>Between 2020 and 2022, the conflict devastated Tigray and surrounding regions. An estimated 600,000 people lost their lives, and more than 3 million were displaced. The war also drew in external actors, notably the Eritrean military, which fought alongside federal forces. All sides were accused of gross human rights abuses, including mass killings, widespread sexual violence, and the deliberate destruction of infrastructure.</w:t>
      </w:r>
      <w:r>
        <w:rPr>
          <w:rFonts w:hint="default"/>
          <w:szCs w:val="24"/>
          <w:lang w:val="en-GB"/>
        </w:rPr>
        <w:t xml:space="preserve"> </w:t>
      </w:r>
      <w:r>
        <w:rPr>
          <w:rFonts w:hint="default"/>
          <w:szCs w:val="24"/>
        </w:rPr>
        <w:t>On November 2, 2022, the federal government and the TPLF signed a peace agreement in Pretoria, South Africa. While large-scale fighting ceased, substantive progress on the full agreement has been limited. Much of Tigray remains in ruins. Political instability continues to cast a long shadow.</w:t>
      </w:r>
      <w:r>
        <w:rPr>
          <w:rFonts w:hint="default"/>
          <w:szCs w:val="24"/>
          <w:lang w:val="en-GB"/>
        </w:rPr>
        <w:t xml:space="preserve"> </w:t>
      </w:r>
      <w:r>
        <w:rPr>
          <w:rFonts w:hint="default"/>
          <w:szCs w:val="24"/>
        </w:rPr>
        <w:t>In the absence of other economic opportunities, regional authorities allowed ex-fighters of the Tigray Defense Force (TDF) to form mining cooperatives, typically bands of 25 people, and allocated plots of land to mine gold either manually or with basic equipment.</w:t>
      </w:r>
      <w:r>
        <w:rPr>
          <w:rFonts w:hint="default"/>
          <w:szCs w:val="24"/>
          <w:lang w:val="en-GB"/>
        </w:rPr>
        <w:t xml:space="preserve"> </w:t>
      </w:r>
      <w:r>
        <w:rPr>
          <w:rFonts w:hint="default"/>
          <w:szCs w:val="24"/>
        </w:rPr>
        <w:t>“We mine the gold using traditional manual methods. Then we sell it at local markets.</w:t>
      </w:r>
      <w:r>
        <w:rPr>
          <w:rFonts w:hint="default"/>
          <w:szCs w:val="24"/>
          <w:lang w:val="en-GB"/>
        </w:rPr>
        <w:t xml:space="preserve"> </w:t>
      </w:r>
      <w:r>
        <w:rPr>
          <w:rFonts w:hint="default"/>
          <w:szCs w:val="24"/>
        </w:rPr>
        <w:t>Kelali</w:t>
      </w:r>
      <w:r>
        <w:rPr>
          <w:rFonts w:hint="default"/>
          <w:szCs w:val="24"/>
          <w:lang w:val="en-GB"/>
        </w:rPr>
        <w:t xml:space="preserve">: </w:t>
      </w:r>
      <w:r>
        <w:rPr>
          <w:rFonts w:hint="default"/>
          <w:szCs w:val="24"/>
        </w:rPr>
        <w:t>The town of Shire in northwestern Tigray, epicenter of Tigray’s black-market gold trade, serves as a collection and distribution point, with artisanal mining concentrated within a 100 kilometer radius.</w:t>
      </w:r>
      <w:r>
        <w:rPr>
          <w:rFonts w:hint="default"/>
          <w:szCs w:val="24"/>
          <w:lang w:val="en-GB"/>
        </w:rPr>
        <w:t xml:space="preserve"> </w:t>
      </w:r>
      <w:r>
        <w:rPr>
          <w:rFonts w:hint="default"/>
          <w:szCs w:val="24"/>
        </w:rPr>
        <w:t>At Shire’s bustling black-market gold hub, located just off the main road leading toward Hayelom Square, small scale miners openly sell their gold to buyers.</w:t>
      </w:r>
      <w:r>
        <w:rPr>
          <w:rFonts w:hint="default"/>
          <w:szCs w:val="24"/>
          <w:lang w:val="en-GB"/>
        </w:rPr>
        <w:t xml:space="preserve"> </w:t>
      </w:r>
      <w:r>
        <w:rPr>
          <w:rFonts w:hint="default"/>
          <w:szCs w:val="24"/>
        </w:rPr>
        <w:t>The market gets busy around 3 p.m., as buyers and sellers call their sources to check gold prices on world markets. Transactions occur openly and are settled through cash or checks, with larger buyers often purchasing on credit and paying the miners after smuggling the gold abroad.</w:t>
      </w:r>
      <w:r>
        <w:rPr>
          <w:rFonts w:hint="default"/>
          <w:szCs w:val="24"/>
          <w:lang w:val="en-GB"/>
        </w:rPr>
        <w:t xml:space="preserve"> </w:t>
      </w:r>
      <w:r>
        <w:rPr>
          <w:rFonts w:hint="default"/>
          <w:szCs w:val="24"/>
        </w:rPr>
        <w:t>In mid-March, a gram of gold went for around $106, roughy 25 percent higher than the government-set price. Black market exchange rates and foreign gold prices, particularly those in Dubai dictate the prices.</w:t>
      </w:r>
      <w:r>
        <w:rPr>
          <w:rFonts w:hint="default"/>
          <w:szCs w:val="24"/>
          <w:lang w:val="en-GB"/>
        </w:rPr>
        <w:t xml:space="preserve"> </w:t>
      </w:r>
      <w:r>
        <w:rPr>
          <w:rFonts w:hint="default"/>
          <w:szCs w:val="24"/>
        </w:rPr>
        <w:t>In Ethiopia, individuals or entities with the proper licenses can buy gold. But only the National Bank of Ethiopia may export gold under the law.</w:t>
      </w:r>
      <w:r>
        <w:rPr>
          <w:rFonts w:hint="default"/>
          <w:szCs w:val="24"/>
          <w:lang w:val="en-GB"/>
        </w:rPr>
        <w:t xml:space="preserve"> </w:t>
      </w:r>
      <w:r>
        <w:rPr>
          <w:rFonts w:hint="default"/>
          <w:szCs w:val="24"/>
        </w:rPr>
        <w:t>A 2024 report by Khermed Law Firm, a Tigrayan firm that investigated illegal mining, estimated that over 100,000 traditional artisanal gold miners are operating in the region.</w:t>
      </w:r>
      <w:r>
        <w:rPr>
          <w:rFonts w:hint="default"/>
          <w:szCs w:val="24"/>
          <w:lang w:val="en-GB"/>
        </w:rPr>
        <w:t xml:space="preserve"> </w:t>
      </w:r>
      <w:r>
        <w:rPr>
          <w:rFonts w:hint="default"/>
          <w:szCs w:val="24"/>
        </w:rPr>
        <w:t>But Kelali explains these small-scale mining operations are just a tip of the iceberg. “Top TDF generals have seized control of the most gold-rich areas,” he said. They employ armed ex-combatants to protect their holdings.</w:t>
      </w:r>
      <w:r>
        <w:rPr>
          <w:rFonts w:hint="default"/>
          <w:szCs w:val="24"/>
          <w:lang w:val="en-GB"/>
        </w:rPr>
        <w:t xml:space="preserve"> </w:t>
      </w:r>
      <w:r>
        <w:rPr>
          <w:rFonts w:hint="default"/>
          <w:szCs w:val="24"/>
        </w:rPr>
        <w:t>“The involvement of civilian and military leaders in illegal mining and looting is a major factor contributing to this crisis,” the Khermed report found.</w:t>
      </w:r>
      <w:r>
        <w:rPr>
          <w:rFonts w:hint="default"/>
          <w:szCs w:val="24"/>
          <w:lang w:val="en-GB"/>
        </w:rPr>
        <w:t xml:space="preserve"> </w:t>
      </w:r>
      <w:r>
        <w:rPr>
          <w:rFonts w:hint="default"/>
          <w:szCs w:val="24"/>
        </w:rPr>
        <w:t>Military control of major gold sites in Rahwa, Hintsats, Meli, and Mato Bula bar access to outsiders. Guards use reflective signals and fire warning shots to deter intruders, allowing in only select personnel, such as generals, trusted TDF members, partners, and intermediaries. International NGOs must receive high-level approval to access the area, with visits typically limited to humanitarian aid deliveries, said Tedros Kahsay, an ex-TDF combatant currently heading security for an  NGO active in Tigray, with clearance to enter these regions.</w:t>
      </w:r>
      <w:r>
        <w:rPr>
          <w:rFonts w:hint="default"/>
          <w:szCs w:val="24"/>
          <w:lang w:val="en-GB"/>
        </w:rPr>
        <w:t xml:space="preserve"> </w:t>
      </w:r>
      <w:r>
        <w:rPr>
          <w:rFonts w:hint="default"/>
          <w:szCs w:val="24"/>
        </w:rPr>
        <w:t>“The narrative that the generals gave the gold land for TDF is just a coverup. The administration is using this as an excuse, claiming all the gold land is given to TDF,” Tedros said. In practice, “the top gold-bearing land is being operated by the generals,” he said, adding that foot soldiers received the least promising areas to mine.</w:t>
      </w:r>
      <w:r>
        <w:rPr>
          <w:rFonts w:hint="default"/>
          <w:szCs w:val="24"/>
          <w:lang w:val="en-GB"/>
        </w:rPr>
        <w:t xml:space="preserve"> </w:t>
      </w:r>
      <w:r>
        <w:rPr>
          <w:rFonts w:hint="default"/>
          <w:szCs w:val="24"/>
        </w:rPr>
        <w:t>Riches at Stake</w:t>
      </w:r>
      <w:r>
        <w:rPr>
          <w:rFonts w:hint="default"/>
          <w:szCs w:val="24"/>
          <w:lang w:val="en-GB"/>
        </w:rPr>
        <w:t xml:space="preserve">: </w:t>
      </w:r>
      <w:r>
        <w:rPr>
          <w:rFonts w:hint="default"/>
          <w:szCs w:val="24"/>
        </w:rPr>
        <w:t>Before the outbreak of war, Tigray was among the largest suppliers of gold to the National Bank of Ethiopia. The region held the most licenses to mine gold in Ethiopia, with over 90 licenses registered, according to the Ministry of Mines.</w:t>
      </w:r>
      <w:r>
        <w:rPr>
          <w:rFonts w:hint="default"/>
          <w:szCs w:val="24"/>
          <w:lang w:val="en-GB"/>
        </w:rPr>
        <w:t xml:space="preserve"> </w:t>
      </w:r>
      <w:r>
        <w:rPr>
          <w:rFonts w:hint="default"/>
          <w:szCs w:val="24"/>
        </w:rPr>
        <w:t>The extent of illegal mining has surpassed the regional government’s capacity to manage or contain it.</w:t>
      </w:r>
      <w:r>
        <w:rPr>
          <w:rFonts w:hint="default"/>
          <w:szCs w:val="24"/>
          <w:lang w:val="en-GB"/>
        </w:rPr>
        <w:t xml:space="preserve"> </w:t>
      </w:r>
      <w:r>
        <w:rPr>
          <w:rFonts w:hint="default"/>
          <w:szCs w:val="24"/>
        </w:rPr>
        <w:t>Fisaha Miresa - Director of the Tigray Mining Bureau</w:t>
      </w:r>
      <w:r>
        <w:rPr>
          <w:rFonts w:hint="default"/>
          <w:szCs w:val="24"/>
          <w:lang w:val="en-GB"/>
        </w:rPr>
        <w:t xml:space="preserve">. </w:t>
      </w:r>
      <w:r>
        <w:rPr>
          <w:rFonts w:hint="default"/>
          <w:szCs w:val="24"/>
        </w:rPr>
        <w:t>Now, illegal and unlicensed groups control mining sites across Tigray, said Fisaha Miresa, a Director of the Tigray Mining Bureau, “yet they dominate the sites through armed force, particularly targeting gold extraction.”</w:t>
      </w:r>
      <w:r>
        <w:rPr>
          <w:rFonts w:hint="default"/>
          <w:szCs w:val="24"/>
          <w:lang w:val="en-GB"/>
        </w:rPr>
        <w:t xml:space="preserve"> </w:t>
      </w:r>
      <w:r>
        <w:rPr>
          <w:rFonts w:hint="default"/>
          <w:szCs w:val="24"/>
        </w:rPr>
        <w:t>“They possess heavy machinery, including excavators, and operate the gold mining sites around the clock,” he said</w:t>
      </w:r>
      <w:r>
        <w:rPr>
          <w:rFonts w:hint="default"/>
          <w:szCs w:val="24"/>
          <w:lang w:val="en-GB"/>
        </w:rPr>
        <w:t xml:space="preserve">. </w:t>
      </w:r>
      <w:r>
        <w:rPr>
          <w:rFonts w:hint="default"/>
          <w:szCs w:val="24"/>
        </w:rPr>
        <w:t>Many here blame the prevailing lawlessness in Tigray on internal divisions among members of the Tigray People’s Liberation Front (TPLF). Though the Pretoria Agreement put an end to the war, it has also exposed deep rifts within the TPLF itself, as it faced existential questions about its role in the conflict and its ability to lead in its aftermath. At the heart of the division is a clash of factions, one led by Debretsion Gebremichael and the other by Getachew Reda. This collapse of governance structures in Tigray, compounded by the militarization of key mining sites, has created a vacuum of legitimacy in Tigray.</w:t>
      </w:r>
      <w:r>
        <w:rPr>
          <w:rFonts w:hint="default"/>
          <w:szCs w:val="24"/>
          <w:lang w:val="en-GB"/>
        </w:rPr>
        <w:t xml:space="preserve"> </w:t>
      </w:r>
      <w:r>
        <w:rPr>
          <w:rFonts w:hint="default"/>
          <w:szCs w:val="24"/>
        </w:rPr>
        <w:t>The contest for control over these lucrative gold resources had heightened tensions between the factions. Getachew has accused his opposition of complicity in illegal gold mining and smuggling operations, allegedly in collaboration with senior generals from the TDF. In June 2024, he said that while gold worth roughly $300 million was supplied to the central bank in one quarter, three to four times that amount was being smuggled out of Tigray every quarter. In the past ten months alone, Ethiopia officially exported $2 billion worth of gold, a significant portion of which—12,210 kilograms—came from the Tigray region. Based on these figures, the gold smuggled from Tigray is estimated to average between 36,600 and 48,800 kilograms a year.</w:t>
      </w:r>
      <w:r>
        <w:rPr>
          <w:rFonts w:hint="default"/>
          <w:szCs w:val="24"/>
          <w:lang w:val="en-GB"/>
        </w:rPr>
        <w:t xml:space="preserve"> </w:t>
      </w:r>
      <w:r>
        <w:rPr>
          <w:rFonts w:hint="default"/>
          <w:szCs w:val="24"/>
        </w:rPr>
        <w:t>These estimates are corroborated by other well-placed sources who assess that between 30,000 and 50,000 kilograms of gold are smuggled out of Tigray annually.</w:t>
      </w:r>
      <w:r>
        <w:rPr>
          <w:rFonts w:hint="default"/>
          <w:szCs w:val="24"/>
          <w:lang w:val="en-GB"/>
        </w:rPr>
        <w:t xml:space="preserve"> </w:t>
      </w:r>
      <w:r>
        <w:rPr>
          <w:rFonts w:hint="default"/>
          <w:szCs w:val="24"/>
        </w:rPr>
        <w:t>Tigray’s estimated illicit gold market size is also comparable to nationwide figures. A recent study commissioned by the Embassy of India in Addis Ababa found that Ethiopia loses nearly two-thirds of its total gold production to informal and illegal channels.</w:t>
      </w:r>
      <w:r>
        <w:rPr>
          <w:rFonts w:hint="default"/>
          <w:szCs w:val="24"/>
          <w:lang w:val="en-GB"/>
        </w:rPr>
        <w:t xml:space="preserve"> </w:t>
      </w:r>
      <w:r>
        <w:rPr>
          <w:rFonts w:hint="default"/>
          <w:szCs w:val="24"/>
        </w:rPr>
        <w:t>In terms of market value, the smuggled gold is estimated to be worth $2 billion to $3.49 billion a year. This estimate reflects figures and market conditions comparable to those under which Ethiopia’s official gold exports were made during the same period. Notably, this figure is on par with Ethiopia’s total gold export revenue during the same period ($2 billion) and dwarfs Tigray’s entire annual regional budget, which stands at just $100 million.</w:t>
      </w:r>
      <w:r>
        <w:rPr>
          <w:rFonts w:hint="default"/>
          <w:szCs w:val="24"/>
          <w:lang w:val="en-GB"/>
        </w:rPr>
        <w:t xml:space="preserve"> </w:t>
      </w:r>
      <w:r>
        <w:rPr>
          <w:rFonts w:hint="default"/>
          <w:szCs w:val="24"/>
        </w:rPr>
        <w:t>Among those allegedly implicated is Brigadier General Migbey Haile, a senior military official in the region’s army accused of overstepping his military mandate and participating in gold embezzlement operations in northern Tigray. In March 2025, the Ethiopian National Defense Force publicly accused General Migbey of “smuggling Tigrayan gold through Eritrea for personal enrichment,” among other charges. Migbey has categorically denied all allegations.</w:t>
      </w:r>
      <w:r>
        <w:rPr>
          <w:rFonts w:hint="default"/>
          <w:szCs w:val="24"/>
          <w:lang w:val="en-GB"/>
        </w:rPr>
        <w:t xml:space="preserve"> </w:t>
      </w:r>
      <w:r>
        <w:rPr>
          <w:rFonts w:hint="default"/>
          <w:szCs w:val="24"/>
        </w:rPr>
        <w:t>Foreign Involvement, Expanding Illicit Networks</w:t>
      </w:r>
      <w:r>
        <w:rPr>
          <w:rFonts w:hint="default"/>
          <w:szCs w:val="24"/>
          <w:lang w:val="en-GB"/>
        </w:rPr>
        <w:t xml:space="preserve">: </w:t>
      </w:r>
      <w:r>
        <w:rPr>
          <w:rFonts w:hint="default"/>
          <w:szCs w:val="24"/>
        </w:rPr>
        <w:t>Tigrayan fighters are not the only players involved in the region’s illicit mining operations, underscoring a broader and deeply entrenched crisis. Refugees, internally displaced persons, and local youth are also actively participating in the illegal gold trade.</w:t>
      </w:r>
      <w:r>
        <w:rPr>
          <w:rFonts w:hint="default"/>
          <w:szCs w:val="24"/>
          <w:lang w:val="en-GB"/>
        </w:rPr>
        <w:t xml:space="preserve"> </w:t>
      </w:r>
      <w:r>
        <w:rPr>
          <w:rFonts w:hint="default"/>
          <w:szCs w:val="24"/>
        </w:rPr>
        <w:t>Moreover, industry insiders, regional officials, and Tigrayan activists say that foreign actors may have become complicit in illegal mining. After the war, the Tigray administration barred several licensed mining companies from accessing gold sites, and in a letter sent to the Ministry of Mines (MoM) two years ago, it formally requested the revocation of 27 mining licenses, including those for gold exploration and extraction.</w:t>
      </w:r>
      <w:r>
        <w:rPr>
          <w:rFonts w:hint="default"/>
          <w:szCs w:val="24"/>
          <w:lang w:val="en-GB"/>
        </w:rPr>
        <w:t xml:space="preserve"> </w:t>
      </w:r>
      <w:r>
        <w:rPr>
          <w:rFonts w:hint="default"/>
          <w:szCs w:val="24"/>
        </w:rPr>
        <w:t>While the official reason cited was the companies’ failure to commence operations, the reality on the ground tells a more complex story. By the time of their expulsion, Tigrayan generals and their ex-TDF combatants had already taken control of many of the sites previously held by these companies.</w:t>
      </w:r>
      <w:r>
        <w:rPr>
          <w:rFonts w:hint="default"/>
          <w:szCs w:val="24"/>
          <w:lang w:val="en-GB"/>
        </w:rPr>
        <w:t xml:space="preserve"> </w:t>
      </w:r>
      <w:r>
        <w:rPr>
          <w:rFonts w:hint="default"/>
          <w:szCs w:val="24"/>
        </w:rPr>
        <w:t>According to well-placed sources in the mining sector at both regional and national levels, when legal access to the mining areas was denied, some companies pivoted to informal arrangements, collaborating directly with military generals, ex-combatants, and local landowners to maintain a stake in gold extraction. Foreign involvement in illicit gold mining is not new in Ethiopia. In 2023, the Ethiopian Security and Intelligence Joint Task Force detained more than 90 foreign nationals, including nine companies, and their local accomplices in Gambella and Benishangul-Gumuz regions for allegedly engaging in illegal mineral exploitation.</w:t>
      </w:r>
      <w:r>
        <w:rPr>
          <w:rFonts w:hint="default"/>
          <w:szCs w:val="24"/>
          <w:lang w:val="en-GB"/>
        </w:rPr>
        <w:t xml:space="preserve"> </w:t>
      </w:r>
      <w:r>
        <w:rPr>
          <w:rFonts w:hint="default"/>
          <w:szCs w:val="24"/>
        </w:rPr>
        <w:t>A similar pattern is unfolding in Tigray, where foreign actors have leveraged the post-conflict vacuum to further embed themselves in the region’s illegal mining networks.</w:t>
      </w:r>
      <w:r>
        <w:rPr>
          <w:rFonts w:hint="default"/>
          <w:szCs w:val="24"/>
          <w:lang w:val="en-GB"/>
        </w:rPr>
        <w:t xml:space="preserve"> </w:t>
      </w:r>
      <w:r>
        <w:rPr>
          <w:rFonts w:hint="default"/>
          <w:szCs w:val="24"/>
        </w:rPr>
        <w:t>According to Tigrayan officials and other sources, foreign companies, intermediaries, and money launderers are working with local military officials, ex-combatants, and corrupt bureaucrats. Foreign nationals are involved in mining, gold smuggling, and payment facilitation, they said. Tigrayan officials have named Canadian, Chinese, Indian, and Middle Eastern nationals as key players in the illicit gold trade. The foreign actors, they say, often operate in the background, providing exploration technologies, mining equipment, and financial backing, while partnering with local generals who control access to the land and labor.</w:t>
      </w:r>
      <w:r>
        <w:rPr>
          <w:rFonts w:hint="default"/>
          <w:szCs w:val="24"/>
          <w:lang w:val="en-GB"/>
        </w:rPr>
        <w:t xml:space="preserve"> </w:t>
      </w:r>
      <w:r>
        <w:rPr>
          <w:rFonts w:hint="default"/>
          <w:szCs w:val="24"/>
        </w:rPr>
        <w:t>In addition, with gold prices climbing to historic highs over the past two years, so, too, has the incentive for illegal mining.</w:t>
      </w:r>
      <w:r>
        <w:rPr>
          <w:rFonts w:hint="default"/>
          <w:szCs w:val="24"/>
          <w:lang w:val="en-GB"/>
        </w:rPr>
        <w:t xml:space="preserve"> </w:t>
      </w:r>
      <w:r>
        <w:rPr>
          <w:rFonts w:hint="default"/>
          <w:szCs w:val="24"/>
        </w:rPr>
        <w:t>Global Mining Companies &amp; Tigray</w:t>
      </w:r>
      <w:r>
        <w:rPr>
          <w:rFonts w:hint="default"/>
          <w:szCs w:val="24"/>
          <w:lang w:val="en-GB"/>
        </w:rPr>
        <w:t xml:space="preserve">: </w:t>
      </w:r>
      <w:r>
        <w:rPr>
          <w:rFonts w:hint="default"/>
          <w:szCs w:val="24"/>
        </w:rPr>
        <w:t>Canada is a global leader in the mining industry, with Canadian gold mining companies active in the Tigray region prior to the outbreak of war. As of 2013, over 50 percent of the world’s publicly listed exploration and mining companies were headquartered in Canada. Notably, Ethiopia’s national mining cadaster system was funded by the Canadian government.</w:t>
      </w:r>
      <w:r>
        <w:rPr>
          <w:rFonts w:hint="default"/>
          <w:szCs w:val="24"/>
          <w:lang w:val="en-GB"/>
        </w:rPr>
        <w:t xml:space="preserve"> </w:t>
      </w:r>
      <w:r>
        <w:rPr>
          <w:rFonts w:hint="default"/>
          <w:szCs w:val="24"/>
        </w:rPr>
        <w:t>Even with a devastating war still raging and despite a public backlash against foreign mining operations, Canadian companies were in contact with the Ethiopian government, pushing to secure licenses and rights for their projects in the region.</w:t>
      </w:r>
      <w:r>
        <w:rPr>
          <w:rFonts w:hint="default"/>
          <w:szCs w:val="24"/>
          <w:lang w:val="en-GB"/>
        </w:rPr>
        <w:t xml:space="preserve"> </w:t>
      </w:r>
      <w:r>
        <w:rPr>
          <w:rFonts w:hint="default"/>
          <w:szCs w:val="24"/>
        </w:rPr>
        <w:t>One such company is East Africa Metals (EAM) Inc. According to The Globe and Mail, the company stated in a 2021 letter to the Ethiopian government that it had discovered gold reserves worth an estimated $3 billion in Tigray and was “prepared to initiate its exploration and construction programs.”</w:t>
      </w:r>
      <w:r>
        <w:rPr>
          <w:rFonts w:hint="default"/>
          <w:szCs w:val="24"/>
          <w:lang w:val="en-GB"/>
        </w:rPr>
        <w:t xml:space="preserve"> </w:t>
      </w:r>
      <w:r>
        <w:rPr>
          <w:rFonts w:hint="default"/>
          <w:szCs w:val="24"/>
        </w:rPr>
        <w:t>EAM has repeatedly expressed its readiness to resume operations in the region. In July 2024, the company announced that its development partner had initiated the procurement process for heavy equipment needed for the construction of the Adyabo Project’s Mato Bula and Da Tambuk mines, both in Tigray.</w:t>
      </w:r>
      <w:r>
        <w:rPr>
          <w:rFonts w:hint="default"/>
          <w:szCs w:val="24"/>
          <w:lang w:val="en-GB"/>
        </w:rPr>
        <w:t xml:space="preserve"> </w:t>
      </w:r>
      <w:r>
        <w:rPr>
          <w:rFonts w:hint="default"/>
          <w:szCs w:val="24"/>
        </w:rPr>
        <w:t>In January 2025, East Africa Metals completed a private placement to raise funds for operations in Tigray and Tanzania, which it said reflects “confidence in the company’s African assets.”</w:t>
      </w:r>
      <w:r>
        <w:rPr>
          <w:rFonts w:hint="default"/>
          <w:szCs w:val="24"/>
          <w:lang w:val="en-GB"/>
        </w:rPr>
        <w:t xml:space="preserve"> </w:t>
      </w:r>
      <w:r>
        <w:rPr>
          <w:rFonts w:hint="default"/>
          <w:szCs w:val="24"/>
        </w:rPr>
        <w:t>Despite these developments, company officials state that operations in Tigray have not yet resumed.</w:t>
      </w:r>
      <w:r>
        <w:rPr>
          <w:rFonts w:hint="default"/>
          <w:szCs w:val="24"/>
          <w:lang w:val="en-GB"/>
        </w:rPr>
        <w:t xml:space="preserve"> </w:t>
      </w:r>
      <w:r>
        <w:rPr>
          <w:rFonts w:hint="default"/>
          <w:szCs w:val="24"/>
        </w:rPr>
        <w:t>“Our company holds mining licenses for the Da Tambuk and Mato Bula sites. However, we have been unable to access them for the past several years. While the federal government is supportive, the regional administration has not cooperated.</w:t>
      </w:r>
      <w:r>
        <w:rPr>
          <w:rFonts w:hint="default"/>
          <w:szCs w:val="24"/>
          <w:lang w:val="en-GB"/>
        </w:rPr>
        <w:t xml:space="preserve"> </w:t>
      </w:r>
      <w:r>
        <w:rPr>
          <w:rFonts w:hint="default"/>
          <w:szCs w:val="24"/>
        </w:rPr>
        <w:t>Teketsel Tsige - general manager of Tigray Resources Incorporated (TRI), a subsidiary of East Africa Metals (EAM).</w:t>
      </w:r>
      <w:r>
        <w:rPr>
          <w:rFonts w:hint="default"/>
          <w:szCs w:val="24"/>
          <w:lang w:val="en-GB"/>
        </w:rPr>
        <w:t xml:space="preserve"> </w:t>
      </w:r>
      <w:r>
        <w:rPr>
          <w:rFonts w:hint="default"/>
          <w:szCs w:val="24"/>
        </w:rPr>
        <w:t>“Our company holds mining licenses for the Da Tambuk and Mato Bula sites. However, we have been unable to access them for the past several years. While the federal government is supportive, the regional administration has not cooperated,” said Teketsel Tsige, general manager of Tigray Resources Incorporated (TRI), a subsidiary of East Africa Metals (EAM).</w:t>
      </w:r>
      <w:r>
        <w:rPr>
          <w:rFonts w:hint="default"/>
          <w:szCs w:val="24"/>
          <w:lang w:val="en-GB"/>
        </w:rPr>
        <w:t xml:space="preserve"> </w:t>
      </w:r>
      <w:r>
        <w:rPr>
          <w:rFonts w:hint="default"/>
          <w:szCs w:val="24"/>
        </w:rPr>
        <w:t>Satellite imagery shows that mining operations have been ongoing at the Da Tambuk and Mato Bula mines, with significant terrain changes and excavation evident between 2020 and 2024.</w:t>
      </w:r>
      <w:r>
        <w:rPr>
          <w:rFonts w:hint="default"/>
          <w:szCs w:val="24"/>
          <w:lang w:val="en-GB"/>
        </w:rPr>
        <w:t xml:space="preserve"> </w:t>
      </w:r>
      <w:r>
        <w:rPr>
          <w:rFonts w:hint="default"/>
          <w:szCs w:val="24"/>
        </w:rPr>
        <w:t>The company states that these operations are not done by EAM.</w:t>
      </w:r>
      <w:r>
        <w:rPr>
          <w:rFonts w:hint="default"/>
          <w:szCs w:val="24"/>
          <w:lang w:val="en-GB"/>
        </w:rPr>
        <w:t xml:space="preserve"> </w:t>
      </w:r>
      <w:r>
        <w:rPr>
          <w:rFonts w:hint="default"/>
          <w:szCs w:val="24"/>
        </w:rPr>
        <w:t>Addressing allegations that foreign companies are operating illegally in Tigray, Teketsel responded, “I’ve heard reports that foreigners are involved in illegal mining in the region. However, I believe they are acting as individuals, not as representatives of any company.”</w:t>
      </w:r>
      <w:r>
        <w:rPr>
          <w:rFonts w:hint="default"/>
          <w:szCs w:val="24"/>
          <w:lang w:val="en-GB"/>
        </w:rPr>
        <w:t xml:space="preserve"> </w:t>
      </w:r>
      <w:r>
        <w:rPr>
          <w:rFonts w:hint="default"/>
          <w:szCs w:val="24"/>
        </w:rPr>
        <w:t>“We are a legitimate business,” Teketsel said. “We carried out our exploration activities legally and invested millions. For us, there is no path but the legal one. We are waiting for the right time to resume our lawful operations.”</w:t>
      </w:r>
      <w:r>
        <w:rPr>
          <w:rFonts w:hint="default"/>
          <w:szCs w:val="24"/>
          <w:lang w:val="en-GB"/>
        </w:rPr>
        <w:t xml:space="preserve"> </w:t>
      </w:r>
      <w:r>
        <w:rPr>
          <w:rFonts w:hint="default"/>
          <w:szCs w:val="24"/>
        </w:rPr>
        <w:t>Another Canadian mining company pursuing gold in Tigray is Sun Peak Metals. In early 2024, Sun Peak’s stock surged to its highest level in nearly three years after the company announced its readiness to resume exploration activities on its Shire Project in Ethiopia.</w:t>
      </w:r>
      <w:r>
        <w:rPr>
          <w:rFonts w:hint="default"/>
          <w:szCs w:val="24"/>
          <w:lang w:val="en-GB"/>
        </w:rPr>
        <w:t xml:space="preserve"> </w:t>
      </w:r>
      <w:r>
        <w:rPr>
          <w:rFonts w:hint="default"/>
          <w:szCs w:val="24"/>
        </w:rPr>
        <w:t>According to the company, the Shire Project comprises six exploration licenses and spans some 559 square miles (1,450 square kilometers) within the highly prospective Arabian-Nubian Shield. Moreover, in June 2024, Sun Peak announced that an initial drill program on the Shire Project in Ethiopia is complete, and results of the survey are pending.</w:t>
      </w:r>
      <w:r>
        <w:rPr>
          <w:rFonts w:hint="default"/>
          <w:szCs w:val="24"/>
          <w:lang w:val="en-GB"/>
        </w:rPr>
        <w:t xml:space="preserve"> </w:t>
      </w:r>
      <w:r>
        <w:rPr>
          <w:rFonts w:hint="default"/>
          <w:szCs w:val="24"/>
        </w:rPr>
        <w:t>In an emailed statement, Sun Peak stated that while all its exploration licenses are “current and in good standing,” the company has stopped operations. Yordanos added that Sun Peak has retained all its staff and remains hopeful that mining will resume once the region’s political situation stabilizes.</w:t>
      </w:r>
    </w:p>
    <w:p w14:paraId="41318949">
      <w:pPr>
        <w:numPr>
          <w:ilvl w:val="0"/>
          <w:numId w:val="1"/>
        </w:numPr>
        <w:spacing w:line="276" w:lineRule="auto"/>
        <w:ind w:left="420" w:leftChars="0" w:hanging="420" w:firstLineChars="0"/>
        <w:rPr>
          <w:rFonts w:hint="default"/>
          <w:szCs w:val="24"/>
          <w:lang w:val="en-GB"/>
        </w:rPr>
      </w:pPr>
      <w:bookmarkStart w:id="2" w:name="_Toc18132"/>
      <w:r>
        <w:rPr>
          <w:rStyle w:val="15"/>
          <w:rFonts w:hint="default"/>
        </w:rPr>
        <w:t>Elders Who Visited Tigray in Response to PM Abiy’s Peace Call Hold Talks with Ministry of Peace</w:t>
      </w:r>
      <w:bookmarkEnd w:id="2"/>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"https://www.fanamc.com/english/elders-who-visited-tigray-in-response-to-pm-abiys-peace-call-hold-talks-with-ministry-of-peace/"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746CE3A0">
      <w:pPr>
        <w:spacing w:line="276" w:lineRule="auto"/>
        <w:rPr>
          <w:rFonts w:hint="default"/>
          <w:szCs w:val="24"/>
        </w:rPr>
      </w:pPr>
      <w:r>
        <w:rPr>
          <w:rFonts w:hint="default"/>
          <w:szCs w:val="24"/>
        </w:rPr>
        <w:t>A group of elders who independently traveled to the Tigray Regional State in response to Prime Minister Abiy Ahmed’s recent call for peace held discussions with officials from the Ministry of Peace this week.</w:t>
      </w:r>
      <w:r>
        <w:rPr>
          <w:rFonts w:hint="default"/>
          <w:szCs w:val="24"/>
          <w:lang w:val="en-GB"/>
        </w:rPr>
        <w:t xml:space="preserve"> </w:t>
      </w:r>
      <w:r>
        <w:rPr>
          <w:rFonts w:hint="default"/>
          <w:szCs w:val="24"/>
        </w:rPr>
        <w:t>The elders said they were inspired by the Prime Minister’s address to Parliament on July 3, in which he called on traditional elders and community leaders to play an active role in promoting peace across the country. Acting on this call, they visited Tigray to engage with local stakeholders and advocate for peaceful dialogue.</w:t>
      </w:r>
      <w:r>
        <w:rPr>
          <w:rFonts w:hint="default"/>
          <w:szCs w:val="24"/>
          <w:lang w:val="en-GB"/>
        </w:rPr>
        <w:t xml:space="preserve"> </w:t>
      </w:r>
      <w:r>
        <w:rPr>
          <w:rFonts w:hint="default"/>
          <w:szCs w:val="24"/>
        </w:rPr>
        <w:t>During their mission, the elders also met with federal and regional officials, including Minister of Peace Mohammed Idris, to share their observations and further their efforts.</w:t>
      </w:r>
      <w:r>
        <w:rPr>
          <w:rFonts w:hint="default"/>
          <w:szCs w:val="24"/>
          <w:lang w:val="en-GB"/>
        </w:rPr>
        <w:t xml:space="preserve"> </w:t>
      </w:r>
      <w:r>
        <w:rPr>
          <w:rFonts w:hint="default"/>
          <w:szCs w:val="24"/>
        </w:rPr>
        <w:t>In the discussion, Minister Mohammed praised the initiative of elders from across Ethiopia who have voluntarily mobilized to support peace efforts. He emphasized the importance of such contributions in resolving conflicts through the lens of Ethiopian values and traditions.</w:t>
      </w:r>
      <w:r>
        <w:rPr>
          <w:rFonts w:hint="default"/>
          <w:szCs w:val="24"/>
          <w:lang w:val="en-GB"/>
        </w:rPr>
        <w:t xml:space="preserve"> </w:t>
      </w:r>
      <w:r>
        <w:rPr>
          <w:rFonts w:hint="default"/>
          <w:szCs w:val="24"/>
        </w:rPr>
        <w:t>The Minister highlighted ongoing efforts by the federal government to sustain peace and security in the Tigray region. He noted that, alongside peacebuilding measures, the government has taken steps to ensure the continuity of economic and social development activities in the region.</w:t>
      </w:r>
      <w:r>
        <w:rPr>
          <w:rFonts w:hint="default"/>
          <w:szCs w:val="24"/>
          <w:lang w:val="en-GB"/>
        </w:rPr>
        <w:t xml:space="preserve"> </w:t>
      </w:r>
      <w:r>
        <w:rPr>
          <w:rFonts w:hint="default"/>
          <w:szCs w:val="24"/>
        </w:rPr>
        <w:t>Reaffirming the government’s longstanding commitment to peace, Mohammed Idris stated that such initiatives will continue to be strengthened in pursuit of a lasting resolution.</w:t>
      </w:r>
    </w:p>
    <w:p w14:paraId="1A0C15BC">
      <w:pPr>
        <w:numPr>
          <w:ilvl w:val="0"/>
          <w:numId w:val="1"/>
        </w:numPr>
        <w:spacing w:line="276" w:lineRule="auto"/>
        <w:ind w:left="420" w:leftChars="0" w:hanging="420" w:firstLineChars="0"/>
        <w:rPr>
          <w:rFonts w:hint="default"/>
          <w:szCs w:val="24"/>
        </w:rPr>
      </w:pPr>
      <w:bookmarkStart w:id="3" w:name="_Toc27481"/>
      <w:r>
        <w:rPr>
          <w:rStyle w:val="15"/>
          <w:rFonts w:hint="default"/>
        </w:rPr>
        <w:t>Afar People’s Party accuses Somali Region of violating boundaries with new administrative restructuring</w:t>
      </w:r>
      <w:bookmarkEnd w:id="3"/>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"https://addisstandard.com/afar-peoples-party-accuses-somali-region-of-violating-boundaries-with-new-administrative-restructuring/" </w:instrText>
      </w:r>
      <w:r>
        <w:rPr>
          <w:rFonts w:hint="default"/>
          <w:szCs w:val="24"/>
          <w:lang w:val="en-GB"/>
        </w:rPr>
        <w:fldChar w:fldCharType="separate"/>
      </w:r>
      <w:r>
        <w:rPr>
          <w:rStyle w:val="10"/>
          <w:rFonts w:hint="default"/>
          <w:szCs w:val="24"/>
          <w:lang w:val="en-GB"/>
        </w:rPr>
        <w:t>Addis Standard</w:t>
      </w:r>
      <w:r>
        <w:rPr>
          <w:rFonts w:hint="default"/>
          <w:szCs w:val="24"/>
          <w:lang w:val="en-GB"/>
        </w:rPr>
        <w:fldChar w:fldCharType="end"/>
      </w:r>
    </w:p>
    <w:p w14:paraId="5430EAC7">
      <w:pPr>
        <w:spacing w:line="276" w:lineRule="auto"/>
        <w:rPr>
          <w:rFonts w:hint="default"/>
          <w:szCs w:val="24"/>
        </w:rPr>
      </w:pPr>
      <w:r>
        <w:rPr>
          <w:rFonts w:hint="default"/>
          <w:szCs w:val="24"/>
        </w:rPr>
        <w:t>The Afar People’s Party (APP) has strongly condemned a recent decision by the Somali Regional Council to approve 14 new woredas (districts) and 4 new zones, alleging that the move constitutes a breach of Afar’s territorial integrity and threatens the fragile peace between the two regions.</w:t>
      </w:r>
      <w:r>
        <w:rPr>
          <w:rFonts w:hint="default"/>
          <w:szCs w:val="24"/>
          <w:lang w:val="en-GB"/>
        </w:rPr>
        <w:t xml:space="preserve"> </w:t>
      </w:r>
      <w:r>
        <w:rPr>
          <w:rFonts w:hint="default"/>
          <w:szCs w:val="24"/>
        </w:rPr>
        <w:t>On Saturday 27 July, the Council approved the establishment of 14 new woredas, four zonal administrations, and 25 municipal leadership offices. Mohammed Adam, Head of the Somali Region’s Communication Bureau, told Addis Standard that the changes are “strictly internal” and “do not involve any redrawing of administrative boundaries.”</w:t>
      </w:r>
      <w:r>
        <w:rPr>
          <w:rFonts w:hint="default"/>
          <w:szCs w:val="24"/>
          <w:lang w:val="en-GB"/>
        </w:rPr>
        <w:t xml:space="preserve"> </w:t>
      </w:r>
      <w:r>
        <w:rPr>
          <w:rFonts w:hint="default"/>
          <w:szCs w:val="24"/>
        </w:rPr>
        <w:t>In a statement released on Thursday, APP said the new administrative units — particularly the so-called “Western” or “Gelbeedk Zone” — violate the administrative boundaries of the Afar National Regional State. “These decisions are not only unconstitutional but also dangerous,” the party said, warning that the restructuring “infringes upon regional sovereignty” and risks reigniting a long-standing and deadly border conflict.</w:t>
      </w:r>
      <w:r>
        <w:rPr>
          <w:rFonts w:hint="default"/>
          <w:szCs w:val="24"/>
          <w:lang w:val="en-GB"/>
        </w:rPr>
        <w:t xml:space="preserve"> </w:t>
      </w:r>
      <w:r>
        <w:rPr>
          <w:rFonts w:hint="default"/>
          <w:szCs w:val="24"/>
        </w:rPr>
        <w:t>The party emphasized that the Somali regional government’s actions contradict recent peacebuilding efforts mediated by federal authorities, including a high-level agreement signed by both regional presidents less than a year ago. “It is not forgotten that such an unstudied and unconstitutional approach… led to the death, displacement, and suffering of a significant number of innocent pastoralists from both sides,” the APP said, referring to the 2019 conflict triggered by similar unilateral declarations.</w:t>
      </w:r>
      <w:r>
        <w:rPr>
          <w:rFonts w:hint="default"/>
          <w:szCs w:val="24"/>
          <w:lang w:val="en-GB"/>
        </w:rPr>
        <w:t xml:space="preserve"> </w:t>
      </w:r>
      <w:r>
        <w:rPr>
          <w:rFonts w:hint="default"/>
          <w:szCs w:val="24"/>
        </w:rPr>
        <w:t>The statement from APP comes in the context of a fragile peace process that began in April 2024, when the Islamic Affairs Supreme Council brokered a ceasefire between the two regions. This was followed by the formation of a National Committee tasked with resolving the Somali–Afar conflict. On September 13, 2024, the committee announced a formal “cessation of hostilities” after evaluating the success of its first operational phase.</w:t>
      </w:r>
      <w:r>
        <w:rPr>
          <w:rFonts w:hint="default"/>
          <w:szCs w:val="24"/>
          <w:lang w:val="en-GB"/>
        </w:rPr>
        <w:t xml:space="preserve"> </w:t>
      </w:r>
      <w:r>
        <w:rPr>
          <w:rFonts w:hint="default"/>
          <w:szCs w:val="24"/>
        </w:rPr>
        <w:t>That announcement came during a meeting attended by senior federal officials, including Deputy Prime Minister Temesgen Tiruneh, Minister of Peace Binalf Andualem, and the presidents of both regions — Awel Arba of Afar and Mustefe Mohammed of Somali. The National Committee noted that its first phase had achieved key goals: halting conflict, preventing further civilian deaths, restoring calm in affected areas, and deploying federal police and military forces to secure the region.</w:t>
      </w:r>
      <w:r>
        <w:rPr>
          <w:rFonts w:hint="default"/>
          <w:szCs w:val="24"/>
          <w:lang w:val="en-GB"/>
        </w:rPr>
        <w:t xml:space="preserve"> </w:t>
      </w:r>
      <w:r>
        <w:rPr>
          <w:rFonts w:hint="default"/>
          <w:szCs w:val="24"/>
        </w:rPr>
        <w:t>“The full implementation of the objectives outlined by the National Committee has been largely successful, including the cessation of conflict, prevention of civilian casualties, and the deployment of federal security forces in peaceful areas,” said Minister Binalf during the meeting. He added that the process had helped local communities experience “a return to normalcy and hope for a more peaceful future.”</w:t>
      </w:r>
      <w:r>
        <w:rPr>
          <w:rFonts w:hint="default"/>
          <w:szCs w:val="24"/>
          <w:lang w:val="en-GB"/>
        </w:rPr>
        <w:t xml:space="preserve"> </w:t>
      </w:r>
      <w:r>
        <w:rPr>
          <w:rFonts w:hint="default"/>
          <w:szCs w:val="24"/>
        </w:rPr>
        <w:t>In this context, the APP said the Somali region’s latest decision not only undermines the federal-led peace process but also directly violates the agreement made by both regional governments to address disputes through peaceful dialogue and cooperation. The conflict between the two regions — especially in areas such as Gabi Rasu Zone in Afar and Sitti Zone in Somali — has resulted in repeated clashes, displacement, and casualties, as previously reported by Addis Standard and the Ethiopian Human Rights Commission (EHRC).</w:t>
      </w:r>
      <w:r>
        <w:rPr>
          <w:rFonts w:hint="default"/>
          <w:szCs w:val="24"/>
          <w:lang w:val="en-GB"/>
        </w:rPr>
        <w:t xml:space="preserve"> </w:t>
      </w:r>
      <w:r>
        <w:rPr>
          <w:rFonts w:hint="default"/>
          <w:szCs w:val="24"/>
        </w:rPr>
        <w:t>The party outlined four major objections to the Somali region’s move. First, it said the restructuring violates existing administrative boundaries, undermining the authority of the national consultation commission legally established to address such disputes. This commission, according to APP, is nearing the end of its mandate and should be allowed to complete its work before any changes are made.</w:t>
      </w:r>
      <w:r>
        <w:rPr>
          <w:rFonts w:hint="default"/>
          <w:szCs w:val="24"/>
          <w:lang w:val="en-GB"/>
        </w:rPr>
        <w:t xml:space="preserve"> </w:t>
      </w:r>
      <w:r>
        <w:rPr>
          <w:rFonts w:hint="default"/>
          <w:szCs w:val="24"/>
        </w:rPr>
        <w:t>Second, APP warned the decision could incite renewed violence. “At a time when our country is recovering from the northern war and striving to strengthen internal peace, this action is an invitation to another war,” the statement cautioned.</w:t>
      </w:r>
      <w:r>
        <w:rPr>
          <w:rFonts w:hint="default"/>
          <w:szCs w:val="24"/>
          <w:lang w:val="en-GB"/>
        </w:rPr>
        <w:t xml:space="preserve"> </w:t>
      </w:r>
      <w:r>
        <w:rPr>
          <w:rFonts w:hint="default"/>
          <w:szCs w:val="24"/>
        </w:rPr>
        <w:t>Third, the party said the move disregards the fragile peace agreements mediated by the Ministry of Peace and threatens to unravel months of progress. “This action erodes the relative peace negotiations… and escalates conflict,” it stated.</w:t>
      </w:r>
      <w:r>
        <w:rPr>
          <w:rFonts w:hint="default"/>
          <w:szCs w:val="24"/>
          <w:lang w:val="en-GB"/>
        </w:rPr>
        <w:t xml:space="preserve"> </w:t>
      </w:r>
      <w:r>
        <w:rPr>
          <w:rFonts w:hint="default"/>
          <w:szCs w:val="24"/>
        </w:rPr>
        <w:t>Finally, APP argued the restructuring endangers Ethiopia’s broader national interests amid growing regional and global tensions. “This decision gravely endangers our national interest by contributing negatively to the erosion of internal unity,” the party warned, adding that it opens space for actors hostile to the country’s stability.</w:t>
      </w:r>
      <w:r>
        <w:rPr>
          <w:rFonts w:hint="default"/>
          <w:szCs w:val="24"/>
          <w:lang w:val="en-GB"/>
        </w:rPr>
        <w:t xml:space="preserve"> </w:t>
      </w:r>
      <w:r>
        <w:rPr>
          <w:rFonts w:hint="default"/>
          <w:szCs w:val="24"/>
        </w:rPr>
        <w:t>Calling the decision “unacceptable,” APP urged the Somali regional government to reverse course and called on the federal government and security institutions to act swiftly. “We call on the Federal Government and security forces to urgently intervene before this issue spirals out of control and another bloody war erupts,” the statement read.</w:t>
      </w:r>
      <w:r>
        <w:rPr>
          <w:rFonts w:hint="default"/>
          <w:szCs w:val="24"/>
          <w:lang w:val="en-GB"/>
        </w:rPr>
        <w:t xml:space="preserve"> </w:t>
      </w:r>
      <w:r>
        <w:rPr>
          <w:rFonts w:hint="default"/>
          <w:szCs w:val="24"/>
        </w:rPr>
        <w:t xml:space="preserve">The Afar People’s Party concluded by reiterating its readiness to contribute to constitutional and peace-focused dialogue, emphasizing its commitment to supporting lasting solutions to inter-regional disputes. </w:t>
      </w:r>
    </w:p>
    <w:p w14:paraId="6A1B31E2">
      <w:pPr>
        <w:numPr>
          <w:ilvl w:val="0"/>
          <w:numId w:val="1"/>
        </w:numPr>
        <w:spacing w:line="276" w:lineRule="auto"/>
        <w:ind w:left="420" w:leftChars="0" w:hanging="420" w:firstLineChars="0"/>
        <w:rPr>
          <w:rFonts w:hint="default"/>
          <w:szCs w:val="24"/>
        </w:rPr>
      </w:pPr>
      <w:bookmarkStart w:id="4" w:name="_Toc13930"/>
      <w:r>
        <w:rPr>
          <w:rStyle w:val="15"/>
          <w:rFonts w:hint="default"/>
        </w:rPr>
        <w:t>Ethiopian speaker engages in global parliamentary dialogue at IPU conference in Geneva</w:t>
      </w:r>
      <w:bookmarkEnd w:id="4"/>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"https://www.fanamc.com/english/ethiopian-speaker-engages-in-global-parliamentary-dialogue-at-ipu-conference-in-geneva/"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699C96E7">
      <w:pPr>
        <w:spacing w:line="276" w:lineRule="auto"/>
        <w:rPr>
          <w:rFonts w:hint="default"/>
          <w:szCs w:val="24"/>
        </w:rPr>
      </w:pPr>
      <w:r>
        <w:rPr>
          <w:rFonts w:hint="default"/>
          <w:szCs w:val="24"/>
        </w:rPr>
        <w:t>Ethiopia is actively participating in the Sixth World Conference of Speakers of Parliament, organized by the Inter-Parliamentary Union (IPU), being held in Geneva, Switzerland from July 29 to 31, 2025.</w:t>
      </w:r>
      <w:r>
        <w:rPr>
          <w:rFonts w:hint="default"/>
          <w:szCs w:val="24"/>
          <w:lang w:val="en-GB"/>
        </w:rPr>
        <w:t xml:space="preserve"> </w:t>
      </w:r>
      <w:r>
        <w:rPr>
          <w:rFonts w:hint="default"/>
          <w:szCs w:val="24"/>
        </w:rPr>
        <w:t>The Ethiopian delegation is led by Tagesse Chaffo, Speaker of the House of Peoples’ Representatives (HoPR).</w:t>
      </w:r>
      <w:r>
        <w:rPr>
          <w:rFonts w:hint="default"/>
          <w:szCs w:val="24"/>
          <w:lang w:val="en-GB"/>
        </w:rPr>
        <w:t xml:space="preserve"> </w:t>
      </w:r>
      <w:r>
        <w:rPr>
          <w:rFonts w:hint="default"/>
          <w:szCs w:val="24"/>
        </w:rPr>
        <w:t>Held once every five years, the conference brings together parliamentary leaders from across the globe to strengthen inter-parliamentary cooperation and reinforce multilateralism. This year’s conference centers on the theme: “A World in Turmoil: Parliamentary Cooperation and Multilateralism for Peace, Justice and Prosperity for All.”</w:t>
      </w:r>
      <w:r>
        <w:rPr>
          <w:rFonts w:hint="default"/>
          <w:szCs w:val="24"/>
          <w:lang w:val="en-GB"/>
        </w:rPr>
        <w:t xml:space="preserve"> </w:t>
      </w:r>
      <w:r>
        <w:rPr>
          <w:rFonts w:hint="default"/>
          <w:szCs w:val="24"/>
        </w:rPr>
        <w:t>In addition to the general debate, participants are engaging in panel discussions with international organization leaders, academics, civil society representatives, and members of the media to address pressing global challenges.</w:t>
      </w:r>
      <w:r>
        <w:rPr>
          <w:rFonts w:hint="default"/>
          <w:szCs w:val="24"/>
          <w:lang w:val="en-GB"/>
        </w:rPr>
        <w:t xml:space="preserve"> </w:t>
      </w:r>
      <w:r>
        <w:rPr>
          <w:rFonts w:hint="default"/>
          <w:szCs w:val="24"/>
        </w:rPr>
        <w:t>On the sidelines of the event, Speaker Tagesse met with Katarina Barley, Vice President of the European Parliament.</w:t>
      </w:r>
      <w:r>
        <w:rPr>
          <w:rFonts w:hint="default"/>
          <w:szCs w:val="24"/>
          <w:lang w:val="en-GB"/>
        </w:rPr>
        <w:t xml:space="preserve"> </w:t>
      </w:r>
      <w:r>
        <w:rPr>
          <w:rFonts w:hint="default"/>
          <w:szCs w:val="24"/>
        </w:rPr>
        <w:t>Ethiopia’s Permanent Mission in Geneva told Fana Media Corporation that the two officials discussed the longstanding parliamentary ties between Ethiopia and the European Union and explored opportunities to deepen future cooperation.</w:t>
      </w:r>
    </w:p>
    <w:p w14:paraId="45711D32">
      <w:pPr>
        <w:spacing w:line="276" w:lineRule="auto"/>
        <w:rPr>
          <w:rFonts w:cs="Times New Roman"/>
          <w:szCs w:val="24"/>
        </w:rPr>
      </w:pPr>
      <w:r>
        <w:rPr>
          <w:rFonts w:cs="Times New Roman"/>
          <w:szCs w:val="24"/>
        </w:rPr>
        <w:t>________________________________________________________________________</w:t>
      </w:r>
    </w:p>
    <w:p w14:paraId="1F79E3DA">
      <w:pPr>
        <w:spacing w:line="276" w:lineRule="auto"/>
        <w:outlineLvl w:val="0"/>
        <w:rPr>
          <w:rFonts w:eastAsia="DengXian Light" w:cs="Times New Roman"/>
          <w:b/>
          <w:bCs/>
          <w:color w:val="2F5496"/>
          <w:szCs w:val="24"/>
          <w:u w:val="single"/>
        </w:rPr>
      </w:pPr>
      <w:bookmarkStart w:id="5" w:name="_Toc29130"/>
      <w:r>
        <w:rPr>
          <w:rFonts w:eastAsia="DengXian Light" w:cs="Times New Roman"/>
          <w:b/>
          <w:bCs/>
          <w:color w:val="2F5496"/>
          <w:szCs w:val="24"/>
          <w:u w:val="single"/>
        </w:rPr>
        <w:t>Horn of Africa</w:t>
      </w:r>
      <w:bookmarkEnd w:id="5"/>
    </w:p>
    <w:p w14:paraId="090DFB06">
      <w:pPr>
        <w:pStyle w:val="3"/>
        <w:bidi w:val="0"/>
        <w:rPr>
          <w:rFonts w:hint="default"/>
          <w:lang w:val="en-GB"/>
        </w:rPr>
      </w:pPr>
      <w:bookmarkStart w:id="6" w:name="_Toc22177"/>
      <w:r>
        <w:rPr>
          <w:rFonts w:hint="default"/>
          <w:lang w:val="en-GB"/>
        </w:rPr>
        <w:t>Eritrea</w:t>
      </w:r>
      <w:bookmarkEnd w:id="6"/>
    </w:p>
    <w:p w14:paraId="03F47D1C">
      <w:pPr>
        <w:numPr>
          <w:ilvl w:val="0"/>
          <w:numId w:val="1"/>
        </w:numPr>
        <w:ind w:left="420" w:leftChars="0" w:hanging="420" w:firstLineChars="0"/>
        <w:rPr>
          <w:rFonts w:hint="default"/>
          <w:szCs w:val="24"/>
        </w:rPr>
      </w:pPr>
      <w:bookmarkStart w:id="7" w:name="_Toc23849"/>
      <w:r>
        <w:rPr>
          <w:rStyle w:val="15"/>
          <w:rFonts w:hint="default"/>
        </w:rPr>
        <w:t>Eritrean Afar National Congress says ready armed struggle from Ethiopia, opens office in Semera</w:t>
      </w:r>
      <w:bookmarkEnd w:id="7"/>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"https://addisstandard.com/eritrean-afar-national-congress-opens-office-in-semera-declares-readiness-for-armed-struggle-from-ethiopia/" </w:instrText>
      </w:r>
      <w:r>
        <w:rPr>
          <w:rFonts w:hint="default"/>
          <w:szCs w:val="24"/>
          <w:lang w:val="en-GB"/>
        </w:rPr>
        <w:fldChar w:fldCharType="separate"/>
      </w:r>
      <w:r>
        <w:rPr>
          <w:rStyle w:val="10"/>
          <w:rFonts w:hint="default"/>
          <w:szCs w:val="24"/>
          <w:lang w:val="en-GB"/>
        </w:rPr>
        <w:t>Addis Standard</w:t>
      </w:r>
      <w:r>
        <w:rPr>
          <w:rFonts w:hint="default"/>
          <w:szCs w:val="24"/>
          <w:lang w:val="en-GB"/>
        </w:rPr>
        <w:fldChar w:fldCharType="end"/>
      </w:r>
    </w:p>
    <w:p w14:paraId="21804A19">
      <w:pPr>
        <w:rPr>
          <w:szCs w:val="24"/>
        </w:rPr>
      </w:pPr>
      <w:r>
        <w:rPr>
          <w:rFonts w:hint="default"/>
          <w:szCs w:val="24"/>
        </w:rPr>
        <w:t>The Eritrean Afar National Congress (EANC), a political group opposing Eritrea’s government, has announced it is preparing for armed struggle against the regime of President Isaias Afwerki.</w:t>
      </w:r>
      <w:r>
        <w:rPr>
          <w:rFonts w:hint="default"/>
          <w:szCs w:val="24"/>
          <w:lang w:val="en-GB"/>
        </w:rPr>
        <w:t xml:space="preserve"> </w:t>
      </w:r>
      <w:r>
        <w:rPr>
          <w:rFonts w:hint="default"/>
          <w:szCs w:val="24"/>
        </w:rPr>
        <w:t>Speaking to Deutsche Welle, EANC executive committee member and spokesperson Ali Mohammed Omer said the group has opened an office in Semera, the capital of Ethiopia’s Afar Region, and plans to expand operations to Addis Abeba.</w:t>
      </w:r>
      <w:r>
        <w:rPr>
          <w:rFonts w:hint="default"/>
          <w:szCs w:val="24"/>
          <w:lang w:val="en-GB"/>
        </w:rPr>
        <w:t xml:space="preserve"> </w:t>
      </w:r>
      <w:r>
        <w:rPr>
          <w:rFonts w:hint="default"/>
          <w:szCs w:val="24"/>
        </w:rPr>
        <w:t>“The Ethiopian government has given us the opportunity to operate and speak,” he stated, adding that their return to the region signals a shift from diaspora-based advocacy to active mobilization on the ground.</w:t>
      </w:r>
      <w:r>
        <w:rPr>
          <w:rFonts w:hint="default"/>
          <w:szCs w:val="24"/>
          <w:lang w:val="en-GB"/>
        </w:rPr>
        <w:t xml:space="preserve"> </w:t>
      </w:r>
      <w:r>
        <w:rPr>
          <w:rFonts w:hint="default"/>
          <w:szCs w:val="24"/>
        </w:rPr>
        <w:t>Founded in Sweden in 2014, EANC says it has spent the last decade raising awareness about the plight of the Red Sea Afar people under the Eritrean regime.</w:t>
      </w:r>
      <w:r>
        <w:rPr>
          <w:rFonts w:hint="default"/>
          <w:szCs w:val="24"/>
          <w:lang w:val="en-GB"/>
        </w:rPr>
        <w:t xml:space="preserve"> </w:t>
      </w:r>
      <w:r>
        <w:rPr>
          <w:rFonts w:hint="default"/>
          <w:szCs w:val="24"/>
        </w:rPr>
        <w:t>According to Ali Mohammed, the group is now working to coordinate with local actors in the Horn of Africa as it readies for military engagement. He also claimed that Eritrean forces have recently mobilized near the Bure border area, suggesting the regime’s intent to destabilize Ethiopia.</w:t>
      </w:r>
      <w:r>
        <w:rPr>
          <w:rFonts w:hint="default"/>
          <w:szCs w:val="24"/>
          <w:lang w:val="en-GB"/>
        </w:rPr>
        <w:t xml:space="preserve"> </w:t>
      </w:r>
      <w:r>
        <w:rPr>
          <w:rFonts w:hint="default"/>
          <w:szCs w:val="24"/>
        </w:rPr>
        <w:t>EANC has also engaged in discussions with other Eritrean opposition groups, including Brigade Nhamedu, which has also declared its intention to forcibly remove the Eritrean government.</w:t>
      </w:r>
      <w:r>
        <w:rPr>
          <w:rFonts w:hint="default"/>
          <w:szCs w:val="24"/>
          <w:lang w:val="en-GB"/>
        </w:rPr>
        <w:t xml:space="preserve"> </w:t>
      </w:r>
      <w:r>
        <w:rPr>
          <w:rFonts w:hint="default"/>
          <w:szCs w:val="24"/>
        </w:rPr>
        <w:t>The announcement comes two weeks after the Red Sea Afar Democratic Organization (RSADO), an Ethiopia-based armed insurgent group, held a public conference in Semera on 13 July. RSADO said its political and military campaign against the Eritrean government, pledging continued struggle until the People’s Front for Democracy and Justice (PFDJ) is dismantled and the Red Sea Afar people’s right to self-determination are recognized.</w:t>
      </w:r>
      <w:r>
        <w:rPr>
          <w:rFonts w:hint="default"/>
          <w:szCs w:val="24"/>
          <w:lang w:val="en-GB"/>
        </w:rPr>
        <w:t xml:space="preserve"> </w:t>
      </w:r>
      <w:r>
        <w:rPr>
          <w:rFonts w:hint="default"/>
          <w:szCs w:val="24"/>
        </w:rPr>
        <w:t>Both developments come amid heightened Ethiopia–Eritrea tensions, following Prime Minister Abiy Ahmed’s October 2023 remarks on gaining Red Sea access, which drew criticisms from both Eritrea and Djibouti.</w:t>
      </w:r>
      <w:r>
        <w:rPr>
          <w:rFonts w:hint="default"/>
          <w:szCs w:val="24"/>
          <w:lang w:val="en-GB"/>
        </w:rPr>
        <w:t xml:space="preserve"> </w:t>
      </w:r>
      <w:r>
        <w:rPr>
          <w:rFonts w:hint="default"/>
          <w:szCs w:val="24"/>
        </w:rPr>
        <w:t xml:space="preserve">The Afar people – who straddle the borders of Ethiopia, Eritrea, and Djibouti – are increasingly at the center of recent regional geopolitical dynamics. </w:t>
      </w:r>
    </w:p>
    <w:p w14:paraId="287E5054">
      <w:r>
        <w:rPr>
          <w:szCs w:val="24"/>
        </w:rPr>
        <w:t>________________________________________________________________________</w:t>
      </w:r>
    </w:p>
    <w:p w14:paraId="10DC5F8A">
      <w:pPr>
        <w:pStyle w:val="3"/>
        <w:spacing w:line="276" w:lineRule="auto"/>
        <w:rPr>
          <w:szCs w:val="24"/>
        </w:rPr>
      </w:pPr>
      <w:bookmarkStart w:id="8" w:name="_Toc31892"/>
      <w:r>
        <w:rPr>
          <w:szCs w:val="24"/>
        </w:rPr>
        <w:t>S</w:t>
      </w:r>
      <w:r>
        <w:rPr>
          <w:rFonts w:hint="default"/>
          <w:szCs w:val="24"/>
          <w:lang w:val="en-GB"/>
        </w:rPr>
        <w:t>omalia</w:t>
      </w:r>
      <w:bookmarkEnd w:id="8"/>
      <w:r>
        <w:rPr>
          <w:szCs w:val="24"/>
        </w:rPr>
        <w:t xml:space="preserve"> </w:t>
      </w:r>
    </w:p>
    <w:p w14:paraId="2699B98B">
      <w:pPr>
        <w:numPr>
          <w:ilvl w:val="0"/>
          <w:numId w:val="1"/>
        </w:numPr>
        <w:spacing w:line="276" w:lineRule="auto"/>
        <w:ind w:left="420" w:leftChars="0" w:hanging="420" w:firstLineChars="0"/>
        <w:rPr>
          <w:rFonts w:hint="default"/>
        </w:rPr>
      </w:pPr>
      <w:bookmarkStart w:id="9" w:name="_Toc20153"/>
      <w:r>
        <w:rPr>
          <w:rStyle w:val="15"/>
          <w:rFonts w:hint="default"/>
        </w:rPr>
        <w:t>Somalia and Djibouti sign Status of Forces Agreement to strengthen defense cooperation</w:t>
      </w:r>
      <w:bookmarkEnd w:id="9"/>
      <w:r>
        <w:rPr>
          <w:rFonts w:hint="default"/>
          <w:lang w:val="en-GB"/>
        </w:rPr>
        <w:t xml:space="preserve"> - </w:t>
      </w:r>
      <w:r>
        <w:rPr>
          <w:rFonts w:hint="default"/>
          <w:lang w:val="en-GB"/>
        </w:rPr>
        <w:fldChar w:fldCharType="begin"/>
      </w:r>
      <w:r>
        <w:rPr>
          <w:rFonts w:hint="default"/>
          <w:lang w:val="en-GB"/>
        </w:rPr>
        <w:instrText xml:space="preserve"> HYPERLINK "https://www.hiiraan.com/news4/2025/July/202397/somalia_and_djibouti_sign_status_of_forces_agreement_to_strengthen_defense_cooperation.aspx?utm_source=hiiraan&amp;utm_medium=SomaliNewsUpdateFront" </w:instrText>
      </w:r>
      <w:r>
        <w:rPr>
          <w:rFonts w:hint="default"/>
          <w:lang w:val="en-GB"/>
        </w:rPr>
        <w:fldChar w:fldCharType="separate"/>
      </w:r>
      <w:r>
        <w:rPr>
          <w:rStyle w:val="10"/>
          <w:rFonts w:hint="default"/>
          <w:lang w:val="en-GB"/>
        </w:rPr>
        <w:t>Hiiraan</w:t>
      </w:r>
      <w:r>
        <w:rPr>
          <w:rFonts w:hint="default"/>
          <w:lang w:val="en-GB"/>
        </w:rPr>
        <w:fldChar w:fldCharType="end"/>
      </w:r>
    </w:p>
    <w:p w14:paraId="1B2D8E78">
      <w:pPr>
        <w:spacing w:line="276" w:lineRule="auto"/>
        <w:rPr>
          <w:rFonts w:hint="default"/>
        </w:rPr>
      </w:pPr>
      <w:r>
        <w:rPr>
          <w:rFonts w:hint="default"/>
        </w:rPr>
        <w:t>The governments of Somalia and Djibouti have signed a landmark Status of Forces Agreement (SoFA) aimed at enhancing bilateral defense cooperation and formalizing the legal and operational framework for the deployment of Djiboutian troops in Somalia.</w:t>
      </w:r>
      <w:r>
        <w:rPr>
          <w:rFonts w:hint="default"/>
          <w:lang w:val="en-GB"/>
        </w:rPr>
        <w:t xml:space="preserve"> </w:t>
      </w:r>
      <w:r>
        <w:rPr>
          <w:rFonts w:hint="default"/>
        </w:rPr>
        <w:t>The agreement was signed in Djibouti by Somalia’s Minister of Defense, Ahmed Moallin Fiqi, and Djibouti’s Acting Minister of Defense, Ali Hassan Bahdoon, during a high-level ceremony attended by senior military and government officials from both nations.</w:t>
      </w:r>
      <w:r>
        <w:rPr>
          <w:rFonts w:hint="default"/>
          <w:lang w:val="en-GB"/>
        </w:rPr>
        <w:t xml:space="preserve"> </w:t>
      </w:r>
      <w:r>
        <w:rPr>
          <w:rFonts w:hint="default"/>
        </w:rPr>
        <w:t>Under the terms of the SoFA, the two countries have established clear guidelines governing the responsibilities, operational protocols, and legal status of Djiboutian forces serving in Somalia. The agreement provides a foundation for expanding Djibouti’s troop presence as part of the broader regional stabilization effort and Somalia’s ongoing security transition.</w:t>
      </w:r>
      <w:r>
        <w:rPr>
          <w:rFonts w:hint="default"/>
          <w:lang w:val="en-GB"/>
        </w:rPr>
        <w:t xml:space="preserve"> </w:t>
      </w:r>
      <w:r>
        <w:rPr>
          <w:rFonts w:hint="default"/>
        </w:rPr>
        <w:t>“The signing of this agreement marks a significant step forward in our shared commitment to regional peace and security,” said Minister Fiqi. “Djibouti’s support remains vital to our efforts to restore stability and transfer security responsibilities to Somali institutions.”</w:t>
      </w:r>
      <w:r>
        <w:rPr>
          <w:rFonts w:hint="default"/>
          <w:lang w:val="en-GB"/>
        </w:rPr>
        <w:t xml:space="preserve"> </w:t>
      </w:r>
      <w:r>
        <w:rPr>
          <w:rFonts w:hint="default"/>
        </w:rPr>
        <w:t>Djiboutian forces have long played a critical role in peacekeeping operations in Somalia, particularly in the central regions, under the African Union’s stabilization mission. The new agreement deepens that collaboration, allowing for enhanced coordination in joint operations and a more structured engagement within Somalia’s evolving security landscape.</w:t>
      </w:r>
      <w:r>
        <w:rPr>
          <w:rFonts w:hint="default"/>
          <w:lang w:val="en-GB"/>
        </w:rPr>
        <w:t xml:space="preserve"> </w:t>
      </w:r>
      <w:r>
        <w:rPr>
          <w:rFonts w:hint="default"/>
        </w:rPr>
        <w:t>Djiboutian officials echoed Somalia’s sentiments, reaffirming their nation’s dedication to supporting Somalia’s sovereignty and rebuilding process. “This agreement reflects Djibouti’s enduring commitment to Somalia’s peace, stability, and long-term recovery,” said Minister Bahdoon.</w:t>
      </w:r>
      <w:r>
        <w:rPr>
          <w:rFonts w:hint="default"/>
          <w:lang w:val="en-GB"/>
        </w:rPr>
        <w:t xml:space="preserve"> </w:t>
      </w:r>
      <w:r>
        <w:rPr>
          <w:rFonts w:hint="default"/>
        </w:rPr>
        <w:t>The SoFA comes at a pivotal moment as Somalia accelerates efforts to reclaim territory from al-Shabaab and transition from reliance on foreign troops to a Somali-led security framework by the end of 2024.</w:t>
      </w:r>
    </w:p>
    <w:p w14:paraId="70B182D7">
      <w:pPr>
        <w:numPr>
          <w:ilvl w:val="0"/>
          <w:numId w:val="1"/>
        </w:numPr>
        <w:spacing w:line="276" w:lineRule="auto"/>
        <w:ind w:left="420" w:leftChars="0" w:hanging="420" w:firstLineChars="0"/>
        <w:rPr>
          <w:rFonts w:hint="default"/>
        </w:rPr>
      </w:pPr>
      <w:bookmarkStart w:id="10" w:name="_Toc10954"/>
      <w:r>
        <w:rPr>
          <w:rStyle w:val="15"/>
          <w:rFonts w:hint="default"/>
        </w:rPr>
        <w:t>Somali PM meets new AU mission chief, reaffirms commitment to terrorism fight and security transition</w:t>
      </w:r>
      <w:bookmarkEnd w:id="10"/>
      <w:r>
        <w:rPr>
          <w:rFonts w:hint="default"/>
          <w:lang w:val="en-GB"/>
        </w:rPr>
        <w:t xml:space="preserve"> - </w:t>
      </w:r>
      <w:r>
        <w:rPr>
          <w:rFonts w:hint="default"/>
          <w:lang w:val="en-GB"/>
        </w:rPr>
        <w:fldChar w:fldCharType="begin"/>
      </w:r>
      <w:r>
        <w:rPr>
          <w:rFonts w:hint="default"/>
          <w:lang w:val="en-GB"/>
        </w:rPr>
        <w:instrText xml:space="preserve"> HYPERLINK "https://www.hiiraan.com/news4/2025/July/202396/somali_pm_meets_new_au_mission_chief_reaffirms_commitment_to_terrorism_fight_and_security_transition.aspx?utm_source=hiiraan&amp;utm_medium=SomaliNewsUpdateFront" </w:instrText>
      </w:r>
      <w:r>
        <w:rPr>
          <w:rFonts w:hint="default"/>
          <w:lang w:val="en-GB"/>
        </w:rPr>
        <w:fldChar w:fldCharType="separate"/>
      </w:r>
      <w:r>
        <w:rPr>
          <w:rStyle w:val="10"/>
          <w:rFonts w:hint="default"/>
          <w:lang w:val="en-GB"/>
        </w:rPr>
        <w:t>Hiiraan</w:t>
      </w:r>
      <w:r>
        <w:rPr>
          <w:rFonts w:hint="default"/>
          <w:lang w:val="en-GB"/>
        </w:rPr>
        <w:fldChar w:fldCharType="end"/>
      </w:r>
    </w:p>
    <w:p w14:paraId="0A7FA104">
      <w:pPr>
        <w:spacing w:line="276" w:lineRule="auto"/>
        <w:rPr>
          <w:rFonts w:hint="default"/>
        </w:rPr>
      </w:pPr>
      <w:r>
        <w:rPr>
          <w:rFonts w:hint="default"/>
        </w:rPr>
        <w:t>Somali Prime Minister Hamza Abdi Barre has welcomed the newly appointed Special Representative of the Chairperson of the African Union Commission (SRCC) for Somalia and Head of the African Union Support and Stabilization Mission in Somalia (AUSSOM), Ambassador El Hadji Ibrahima Diene, in a meeting focused on strengthening cooperation in the ongoing fight against terrorism and advancing Somalia’s security transition.</w:t>
      </w:r>
      <w:r>
        <w:rPr>
          <w:rFonts w:hint="default"/>
          <w:lang w:val="en-GB"/>
        </w:rPr>
        <w:t xml:space="preserve"> </w:t>
      </w:r>
      <w:r>
        <w:rPr>
          <w:rFonts w:hint="default"/>
        </w:rPr>
        <w:t>The meeting, held in Mogadishu, was also attended by AUSSOM Deputy Head Mouktar Ousman Karie. Prime Minister Barre briefed the AU delegation on the latest developments in Somalia’s military campaign against al-Shabaab and underscored the government’s unwavering commitment to defeating the group and stabilizing the country.</w:t>
      </w:r>
      <w:r>
        <w:rPr>
          <w:rFonts w:hint="default"/>
          <w:lang w:val="en-GB"/>
        </w:rPr>
        <w:t xml:space="preserve"> </w:t>
      </w:r>
      <w:r>
        <w:rPr>
          <w:rFonts w:hint="default"/>
        </w:rPr>
        <w:t>“We are making steady progress in liberating areas from terrorist control,” Prime Minister Hamza told the AU leadership, reaffirming his administration’s resolve to complete the Somali-led security transition and restore full state authority.</w:t>
      </w:r>
      <w:r>
        <w:rPr>
          <w:rFonts w:hint="default"/>
          <w:lang w:val="en-GB"/>
        </w:rPr>
        <w:t xml:space="preserve"> </w:t>
      </w:r>
      <w:r>
        <w:rPr>
          <w:rFonts w:hint="default"/>
        </w:rPr>
        <w:t>He also expressed Somalia’s deep appreciation for the African Union’s continued support through AUSSOM, formerly known as AMISOM, and acknowledged the mission’s vital role in peacekeeping, capacity-building, and supporting the federal government’s broader state-building agenda.</w:t>
      </w:r>
      <w:r>
        <w:rPr>
          <w:rFonts w:hint="default"/>
          <w:lang w:val="en-GB"/>
        </w:rPr>
        <w:t xml:space="preserve"> </w:t>
      </w:r>
      <w:r>
        <w:rPr>
          <w:rFonts w:hint="default"/>
        </w:rPr>
        <w:t>In response, Ambassador Diene thanked the Prime Minister for the warm reception and commended the resilience of the Somali people and government. He pledged the African Union’s ongoing support for Somalia’s stabilization efforts and emphasized AUSSOM’s commitment to a smooth, coordinated handover of security responsibilities to Somali forces, in line with the national Transition Plan.</w:t>
      </w:r>
      <w:r>
        <w:rPr>
          <w:rFonts w:hint="default"/>
          <w:lang w:val="en-GB"/>
        </w:rPr>
        <w:t xml:space="preserve"> </w:t>
      </w:r>
      <w:r>
        <w:rPr>
          <w:rFonts w:hint="default"/>
        </w:rPr>
        <w:t>The meeting comes as Somalia prepares for the next phases of troop drawdowns and security handovers under the AU-led framework, which seeks to empower Somali institutions to take full charge of national defense and governance by the end of 2024.</w:t>
      </w:r>
    </w:p>
    <w:p w14:paraId="5B213329">
      <w:pPr>
        <w:numPr>
          <w:ilvl w:val="0"/>
          <w:numId w:val="1"/>
        </w:numPr>
        <w:spacing w:line="276" w:lineRule="auto"/>
        <w:ind w:left="420" w:leftChars="0" w:hanging="420" w:firstLineChars="0"/>
        <w:rPr>
          <w:rFonts w:hint="default"/>
        </w:rPr>
      </w:pPr>
      <w:bookmarkStart w:id="11" w:name="_Toc13319"/>
      <w:r>
        <w:rPr>
          <w:rStyle w:val="15"/>
          <w:rFonts w:hint="default"/>
        </w:rPr>
        <w:t>Puntland leader warns federal government over Gedo conflict, cites risk of national collapse</w:t>
      </w:r>
      <w:bookmarkEnd w:id="11"/>
      <w:r>
        <w:rPr>
          <w:rFonts w:hint="default"/>
          <w:lang w:val="en-GB"/>
        </w:rPr>
        <w:t xml:space="preserve"> - </w:t>
      </w:r>
      <w:r>
        <w:rPr>
          <w:rFonts w:hint="default"/>
          <w:lang w:val="en-GB"/>
        </w:rPr>
        <w:fldChar w:fldCharType="begin"/>
      </w:r>
      <w:r>
        <w:rPr>
          <w:rFonts w:hint="default"/>
          <w:lang w:val="en-GB"/>
        </w:rPr>
        <w:instrText xml:space="preserve"> HYPERLINK "https://www.hiiraan.com/news4/2025/Aug/202412/puntland_leader_warns_federal_government_over_gedo_conflict_cites_risk_of_national_collapse.aspx?utm_source=hiiraan&amp;utm_medium=SomaliNewsUpdateFront" </w:instrText>
      </w:r>
      <w:r>
        <w:rPr>
          <w:rFonts w:hint="default"/>
          <w:lang w:val="en-GB"/>
        </w:rPr>
        <w:fldChar w:fldCharType="separate"/>
      </w:r>
      <w:r>
        <w:rPr>
          <w:rStyle w:val="10"/>
          <w:rFonts w:hint="default"/>
          <w:lang w:val="en-GB"/>
        </w:rPr>
        <w:t>Hiiraan</w:t>
      </w:r>
      <w:r>
        <w:rPr>
          <w:rFonts w:hint="default"/>
          <w:lang w:val="en-GB"/>
        </w:rPr>
        <w:fldChar w:fldCharType="end"/>
      </w:r>
    </w:p>
    <w:p w14:paraId="24BA80ED">
      <w:pPr>
        <w:spacing w:line="276" w:lineRule="auto"/>
        <w:rPr>
          <w:rFonts w:hint="default"/>
        </w:rPr>
      </w:pPr>
      <w:r>
        <w:rPr>
          <w:rFonts w:hint="default"/>
        </w:rPr>
        <w:t>Puntland President Said Abdullahi Deni warned Friday that escalating federal military operations in the southern Gedo region are endangering Somalia’s stability and could spark a broader breakdown of national cohesion.</w:t>
      </w:r>
      <w:r>
        <w:rPr>
          <w:rFonts w:hint="default"/>
          <w:lang w:val="en-GB"/>
        </w:rPr>
        <w:t xml:space="preserve"> </w:t>
      </w:r>
      <w:r>
        <w:rPr>
          <w:rFonts w:hint="default"/>
        </w:rPr>
        <w:t>Deni urged the Somali federal government to withdraw its forces from Gedo, where recent troop deployments have resulted in deadly clashes between rival units of the national army. The violence has caused civilian deaths and large-scale displacement, he said.</w:t>
      </w:r>
      <w:r>
        <w:rPr>
          <w:rFonts w:hint="default"/>
          <w:lang w:val="en-GB"/>
        </w:rPr>
        <w:t xml:space="preserve"> </w:t>
      </w:r>
      <w:r>
        <w:rPr>
          <w:rFonts w:hint="default"/>
        </w:rPr>
        <w:t>“This conflict is not only tragic but dangerous,” Deni said. “If it continues, it could lead to the collapse of the Somali state. Reason must prevail, and the government must consider the interests of the Somali people.”</w:t>
      </w:r>
      <w:r>
        <w:rPr>
          <w:rFonts w:hint="default"/>
          <w:lang w:val="en-GB"/>
        </w:rPr>
        <w:t xml:space="preserve"> </w:t>
      </w:r>
      <w:r>
        <w:rPr>
          <w:rFonts w:hint="default"/>
        </w:rPr>
        <w:t>He accused the federal government of stoking politically motivated violence instead of working to preserve unity among Somalis.</w:t>
      </w:r>
      <w:r>
        <w:rPr>
          <w:rFonts w:hint="default"/>
          <w:lang w:val="en-GB"/>
        </w:rPr>
        <w:t xml:space="preserve"> </w:t>
      </w:r>
      <w:r>
        <w:rPr>
          <w:rFonts w:hint="default"/>
        </w:rPr>
        <w:t>“It is alarming to see a government tasked with defending national unity instead fueling internal divisions to serve short-term political ambitions,” Deni said.</w:t>
      </w:r>
      <w:r>
        <w:rPr>
          <w:rFonts w:hint="default"/>
          <w:lang w:val="en-GB"/>
        </w:rPr>
        <w:t xml:space="preserve"> </w:t>
      </w:r>
      <w:r>
        <w:rPr>
          <w:rFonts w:hint="default"/>
        </w:rPr>
        <w:t>The Puntland president also warned that the fighting could erode the international community’s trust in Somalia’s leadership and jeopardize foreign support for national reconstruction.</w:t>
      </w:r>
      <w:r>
        <w:rPr>
          <w:rFonts w:hint="default"/>
          <w:lang w:val="en-GB"/>
        </w:rPr>
        <w:t xml:space="preserve"> </w:t>
      </w:r>
      <w:r>
        <w:rPr>
          <w:rFonts w:hint="default"/>
        </w:rPr>
        <w:t>Deni’s remarks come amid a simmering standoff between the federal government and Jubbaland authorities over control of Gedo, a strategic region in southern Somalia. The area has long been contested between Mogadishu and Jubbaland President Ahmed Mohamed Islam, known as Ahmed Madobe, a close political ally of Puntland.</w:t>
      </w:r>
      <w:r>
        <w:rPr>
          <w:rFonts w:hint="default"/>
          <w:lang w:val="en-GB"/>
        </w:rPr>
        <w:t xml:space="preserve"> </w:t>
      </w:r>
      <w:r>
        <w:rPr>
          <w:rFonts w:hint="default"/>
        </w:rPr>
        <w:t>The tensions reflect broader strains between the federal government and its member states, many of whom accuse President Hassan Sheikh Mohamud’s administration of centralizing power at the expense of Somalia’s federal system.</w:t>
      </w:r>
      <w:r>
        <w:rPr>
          <w:rFonts w:hint="default"/>
          <w:lang w:val="en-GB"/>
        </w:rPr>
        <w:t xml:space="preserve"> </w:t>
      </w:r>
      <w:r>
        <w:rPr>
          <w:rFonts w:hint="default"/>
        </w:rPr>
        <w:t>Deni also criticized the government’s priorities, noting that while Al-Shabaab has regained territory in recent months, federal forces remain focused on internal disputes.</w:t>
      </w:r>
      <w:r>
        <w:rPr>
          <w:rFonts w:hint="default"/>
          <w:lang w:val="en-GB"/>
        </w:rPr>
        <w:t xml:space="preserve"> </w:t>
      </w:r>
      <w:r>
        <w:rPr>
          <w:rFonts w:hint="default"/>
        </w:rPr>
        <w:t>“At a time when terrorist threats are growing, the government is directing its forces against peaceful communities,” he said. “This undermines national security and weakens Somalia’s position on the global stage.”</w:t>
      </w:r>
    </w:p>
    <w:p w14:paraId="3C245737">
      <w:pPr>
        <w:spacing w:line="276" w:lineRule="auto"/>
      </w:pPr>
      <w:r>
        <w:t>________________________________________________________________________</w:t>
      </w:r>
    </w:p>
    <w:p w14:paraId="59329CA4">
      <w:pPr>
        <w:pStyle w:val="3"/>
        <w:spacing w:line="276" w:lineRule="auto"/>
      </w:pPr>
      <w:bookmarkStart w:id="12" w:name="_Toc16693"/>
      <w:r>
        <w:t>Sudan</w:t>
      </w:r>
      <w:bookmarkEnd w:id="12"/>
    </w:p>
    <w:p w14:paraId="106A79A5">
      <w:pPr>
        <w:numPr>
          <w:ilvl w:val="0"/>
          <w:numId w:val="1"/>
        </w:numPr>
        <w:spacing w:line="276" w:lineRule="auto"/>
        <w:ind w:left="420" w:leftChars="0" w:hanging="420" w:firstLineChars="0"/>
        <w:rPr>
          <w:rFonts w:hint="default"/>
        </w:rPr>
      </w:pPr>
      <w:bookmarkStart w:id="13" w:name="_Toc23406"/>
      <w:r>
        <w:rPr>
          <w:rStyle w:val="15"/>
          <w:rFonts w:hint="default"/>
        </w:rPr>
        <w:t>Sudanese groups warn of ‘annihilation’ in besieged El Fasher, demand aid access</w:t>
      </w:r>
      <w:bookmarkEnd w:id="13"/>
      <w:r>
        <w:rPr>
          <w:rFonts w:hint="default"/>
          <w:lang w:val="en-GB"/>
        </w:rPr>
        <w:t xml:space="preserve"> - </w:t>
      </w:r>
      <w:r>
        <w:rPr>
          <w:rFonts w:hint="default"/>
          <w:lang w:val="en-GB"/>
        </w:rPr>
        <w:fldChar w:fldCharType="begin"/>
      </w:r>
      <w:r>
        <w:rPr>
          <w:rFonts w:hint="default"/>
          <w:lang w:val="en-GB"/>
        </w:rPr>
        <w:instrText xml:space="preserve"> HYPERLINK "https://sudantribune.com/article303446/" </w:instrText>
      </w:r>
      <w:r>
        <w:rPr>
          <w:rFonts w:hint="default"/>
          <w:lang w:val="en-GB"/>
        </w:rPr>
        <w:fldChar w:fldCharType="separate"/>
      </w:r>
      <w:r>
        <w:rPr>
          <w:rStyle w:val="10"/>
          <w:rFonts w:hint="default"/>
          <w:lang w:val="en-GB"/>
        </w:rPr>
        <w:t>Sudan Tribune</w:t>
      </w:r>
      <w:r>
        <w:rPr>
          <w:rFonts w:hint="default"/>
          <w:lang w:val="en-GB"/>
        </w:rPr>
        <w:fldChar w:fldCharType="end"/>
      </w:r>
    </w:p>
    <w:p w14:paraId="7AAA837A">
      <w:pPr>
        <w:spacing w:line="276" w:lineRule="auto"/>
        <w:rPr>
          <w:rFonts w:hint="default"/>
        </w:rPr>
      </w:pPr>
      <w:r>
        <w:rPr>
          <w:rFonts w:hint="default"/>
        </w:rPr>
        <w:t>A coalition of Sudanese political and civil groups on Thursday demanded the opening of humanitarian corridors into the besieged North Darfur city of El Fasher, warning that a siege by the Rapid Support Forces (RSF) threatens the “annihilation” of its population.</w:t>
      </w:r>
      <w:r>
        <w:rPr>
          <w:rFonts w:hint="default"/>
          <w:lang w:val="en-GB"/>
        </w:rPr>
        <w:t xml:space="preserve"> </w:t>
      </w:r>
      <w:r>
        <w:rPr>
          <w:rFonts w:hint="default"/>
        </w:rPr>
        <w:t>The groups accused the paramilitary RSF of war crimes, including deliberately starving the city’s residents, and called for an immediate ceasefire.</w:t>
      </w:r>
      <w:r>
        <w:rPr>
          <w:rFonts w:hint="default"/>
          <w:lang w:val="en-GB"/>
        </w:rPr>
        <w:t xml:space="preserve"> </w:t>
      </w:r>
      <w:r>
        <w:rPr>
          <w:rFonts w:hint="default"/>
        </w:rPr>
        <w:t>Most staple foods, such as millet and sorghum, are unavailable in El Fasher, and residents have relied on “ambaz,” the residue of peanuts and sesame after oil extraction, for months. However, this resource is also about to run out, according to the coalition’s joint statement.</w:t>
      </w:r>
      <w:r>
        <w:rPr>
          <w:rFonts w:hint="default"/>
          <w:lang w:val="en-GB"/>
        </w:rPr>
        <w:t xml:space="preserve"> </w:t>
      </w:r>
      <w:r>
        <w:rPr>
          <w:rFonts w:hint="default"/>
        </w:rPr>
        <w:t>“We condemn the brutal siege on El Fasher,” the statement said, holding the RSF responsible for “killing, starvation, terror, and the targeting of civilians, as well as health and service facilities.”</w:t>
      </w:r>
      <w:r>
        <w:rPr>
          <w:rFonts w:hint="default"/>
          <w:lang w:val="en-GB"/>
        </w:rPr>
        <w:t xml:space="preserve"> </w:t>
      </w:r>
      <w:r>
        <w:rPr>
          <w:rFonts w:hint="default"/>
        </w:rPr>
        <w:t>The RSF has blocked aid and supply routes to El Fasher since April 2024. The groups said the RSF has destroyed most water sources, markets, and hospitals, creating a catastrophe for the 300,000 civilians still trapped in the city.</w:t>
      </w:r>
      <w:r>
        <w:rPr>
          <w:rFonts w:hint="default"/>
          <w:lang w:val="en-GB"/>
        </w:rPr>
        <w:t xml:space="preserve"> </w:t>
      </w:r>
      <w:r>
        <w:rPr>
          <w:rFonts w:hint="default"/>
        </w:rPr>
        <w:t>The statement demanded the withdrawal of the RSF from around the city and the establishment of internationally supervised corridors for food, medicine, and fuel.</w:t>
      </w:r>
      <w:r>
        <w:rPr>
          <w:rFonts w:hint="default"/>
          <w:lang w:val="en-GB"/>
        </w:rPr>
        <w:t xml:space="preserve"> </w:t>
      </w:r>
      <w:r>
        <w:rPr>
          <w:rFonts w:hint="default"/>
        </w:rPr>
        <w:t>The humanitarian situation has deteriorated sharply. Hospitals are non-operational amid outbreaks of cholera, and a United Nations assessment on July 8 showed 38% of children under five in the city’s displacement camps were suffering from acute malnutrition.</w:t>
      </w:r>
      <w:r>
        <w:rPr>
          <w:rFonts w:hint="default"/>
          <w:lang w:val="en-GB"/>
        </w:rPr>
        <w:t xml:space="preserve"> </w:t>
      </w:r>
      <w:r>
        <w:rPr>
          <w:rFonts w:hint="default"/>
        </w:rPr>
        <w:t>“Many residents of El Fasher have been forced to eat animal feed (‘ambaz’) to survive,” the statement read.</w:t>
      </w:r>
      <w:r>
        <w:rPr>
          <w:rFonts w:hint="default"/>
          <w:lang w:val="en-GB"/>
        </w:rPr>
        <w:t xml:space="preserve"> </w:t>
      </w:r>
      <w:r>
        <w:rPr>
          <w:rFonts w:hint="default"/>
        </w:rPr>
        <w:t>It added that the coalition was following with “deep concern and profound pain the unprecedented humanitarian catastrophe… which has escalated in recent weeks to levels that threaten the annihilation of the city and its inhabitants.”</w:t>
      </w:r>
      <w:r>
        <w:rPr>
          <w:rFonts w:hint="default"/>
          <w:lang w:val="en-GB"/>
        </w:rPr>
        <w:t xml:space="preserve"> </w:t>
      </w:r>
      <w:r>
        <w:rPr>
          <w:rFonts w:hint="default"/>
        </w:rPr>
        <w:t>The coalition called for an independent investigation and the activation of international accountability mechanisms for war crimes.</w:t>
      </w:r>
      <w:r>
        <w:rPr>
          <w:rFonts w:hint="default"/>
          <w:lang w:val="en-GB"/>
        </w:rPr>
        <w:t xml:space="preserve"> </w:t>
      </w:r>
      <w:r>
        <w:rPr>
          <w:rFonts w:hint="default"/>
        </w:rPr>
        <w:t>“The battle for life in the city is our battle all, and silence is complicity,” the statement said.</w:t>
      </w:r>
      <w:r>
        <w:rPr>
          <w:rFonts w:hint="default"/>
          <w:lang w:val="en-GB"/>
        </w:rPr>
        <w:t xml:space="preserve"> </w:t>
      </w:r>
      <w:r>
        <w:rPr>
          <w:rFonts w:hint="default"/>
        </w:rPr>
        <w:t>Signatories included the National Umma Party, the Democratic Unionist Party – Original, the Unionist Alliance, and several resistance committee groups.</w:t>
      </w:r>
    </w:p>
    <w:p w14:paraId="3AD1F3A4">
      <w:pPr>
        <w:numPr>
          <w:ilvl w:val="0"/>
          <w:numId w:val="1"/>
        </w:numPr>
        <w:spacing w:line="276" w:lineRule="auto"/>
        <w:ind w:left="420" w:leftChars="0" w:hanging="420" w:firstLineChars="0"/>
        <w:rPr>
          <w:rFonts w:hint="default"/>
        </w:rPr>
      </w:pPr>
      <w:bookmarkStart w:id="14" w:name="_Toc21033"/>
      <w:r>
        <w:rPr>
          <w:rStyle w:val="15"/>
          <w:rFonts w:hint="default"/>
        </w:rPr>
        <w:t>Sudan urges AU to lift suspension, cites new civilian government</w:t>
      </w:r>
      <w:r>
        <w:rPr>
          <w:rStyle w:val="15"/>
          <w:rFonts w:hint="default"/>
          <w:lang w:val="en-GB"/>
        </w:rPr>
        <w:t xml:space="preserve"> </w:t>
      </w:r>
      <w:bookmarkEnd w:id="14"/>
      <w:r>
        <w:rPr>
          <w:rFonts w:hint="default"/>
          <w:lang w:val="en-GB"/>
        </w:rPr>
        <w:t xml:space="preserve">- </w:t>
      </w:r>
      <w:r>
        <w:rPr>
          <w:rFonts w:hint="default"/>
          <w:lang w:val="en-GB"/>
        </w:rPr>
        <w:fldChar w:fldCharType="begin"/>
      </w:r>
      <w:r>
        <w:rPr>
          <w:rFonts w:hint="default"/>
          <w:lang w:val="en-GB"/>
        </w:rPr>
        <w:instrText xml:space="preserve"> HYPERLINK "https://sudantribune.com/article303419/" </w:instrText>
      </w:r>
      <w:r>
        <w:rPr>
          <w:rFonts w:hint="default"/>
          <w:lang w:val="en-GB"/>
        </w:rPr>
        <w:fldChar w:fldCharType="separate"/>
      </w:r>
      <w:r>
        <w:rPr>
          <w:rStyle w:val="10"/>
          <w:rFonts w:hint="default"/>
          <w:lang w:val="en-GB"/>
        </w:rPr>
        <w:t>Sudan Tibune</w:t>
      </w:r>
      <w:r>
        <w:rPr>
          <w:rFonts w:hint="default"/>
          <w:lang w:val="en-GB"/>
        </w:rPr>
        <w:fldChar w:fldCharType="end"/>
      </w:r>
    </w:p>
    <w:p w14:paraId="2776421F">
      <w:pPr>
        <w:spacing w:line="276" w:lineRule="auto"/>
        <w:rPr>
          <w:rFonts w:hint="default"/>
        </w:rPr>
      </w:pPr>
      <w:r>
        <w:rPr>
          <w:rFonts w:hint="default"/>
        </w:rPr>
        <w:t>Sudan’s Prime Minister said on Wednesday that his country has met all the conditions to be reinstated into the African Union after its 2021 suspension, urging the bloc to lift the measures ahead of a key meeting on the issue next week.</w:t>
      </w:r>
      <w:r>
        <w:rPr>
          <w:rFonts w:hint="default"/>
          <w:lang w:val="en-GB"/>
        </w:rPr>
        <w:t xml:space="preserve"> </w:t>
      </w:r>
      <w:r>
        <w:rPr>
          <w:rFonts w:hint="default"/>
        </w:rPr>
        <w:t>Prime Minister Kamil Idris said the appointment of a civilian prime minister and a government of independent experts fulfilled the AU’s requirements for readmission.</w:t>
      </w:r>
      <w:r>
        <w:rPr>
          <w:rFonts w:hint="default"/>
          <w:lang w:val="en-GB"/>
        </w:rPr>
        <w:t xml:space="preserve"> </w:t>
      </w:r>
      <w:r>
        <w:rPr>
          <w:rFonts w:hint="default"/>
        </w:rPr>
        <w:t>During a meeting on Tuesday in the Red Sea city of Port Sudan, Idris informed the AU’s special representative, Mohamed Belaiche, that lifting the suspension was an “acquired right” that should be handled with impartiality, according to a government statement.</w:t>
      </w:r>
      <w:r>
        <w:rPr>
          <w:rFonts w:hint="default"/>
          <w:lang w:val="en-GB"/>
        </w:rPr>
        <w:t xml:space="preserve"> </w:t>
      </w:r>
      <w:r>
        <w:rPr>
          <w:rFonts w:hint="default"/>
        </w:rPr>
        <w:t>The AU suspended Sudan’s membership after a military coup in October 2021 dissolved the country’s civilian-led transitional authority.</w:t>
      </w:r>
      <w:r>
        <w:rPr>
          <w:rFonts w:hint="default"/>
          <w:lang w:val="en-GB"/>
        </w:rPr>
        <w:t xml:space="preserve"> </w:t>
      </w:r>
      <w:r>
        <w:rPr>
          <w:rFonts w:hint="default"/>
        </w:rPr>
        <w:t>Belaiche confirmed that the AU’s Peace and Security Council will hold a meeting on August 4 to discuss the Sudan file, according to Sudan’s state news agency SUNA. He affirmed the bloc’s support for Sudan’s “legitimate government” and its return to the continental body.</w:t>
      </w:r>
      <w:r>
        <w:rPr>
          <w:rFonts w:hint="default"/>
          <w:lang w:val="en-GB"/>
        </w:rPr>
        <w:t xml:space="preserve"> </w:t>
      </w:r>
      <w:r>
        <w:rPr>
          <w:rFonts w:hint="default"/>
        </w:rPr>
        <w:t>In a related development, a major political coalition allied with the army also called for the country’s reinstatement.</w:t>
      </w:r>
      <w:r>
        <w:rPr>
          <w:rFonts w:hint="default"/>
          <w:lang w:val="en-GB"/>
        </w:rPr>
        <w:t xml:space="preserve"> </w:t>
      </w:r>
      <w:r>
        <w:rPr>
          <w:rFonts w:hint="default"/>
        </w:rPr>
        <w:t>The Forces of Freedom and Change – Democratic Bloc said in a statement that it welcomed the AU’s “categorical rejection” of a parallel “Foundation Government” announced by the rival Rapid Support Forces (RSF). The bloc’s spokesman, Mohamed Zakaria Faraj, affirmed its commitment to Sudan’s unity and non-recognition of any “parallel entity.”</w:t>
      </w:r>
      <w:r>
        <w:rPr>
          <w:rFonts w:hint="default"/>
          <w:lang w:val="en-GB"/>
        </w:rPr>
        <w:t xml:space="preserve"> </w:t>
      </w:r>
      <w:r>
        <w:rPr>
          <w:rFonts w:hint="default"/>
        </w:rPr>
        <w:t>The Democratic Bloc is a coalition of armed movements and political parties that have allied with the Sudanese army, including groups led by Minni Arko Minawi and Gibril Ibrahim.</w:t>
      </w:r>
    </w:p>
    <w:p w14:paraId="538416A9">
      <w:pPr>
        <w:numPr>
          <w:ilvl w:val="0"/>
          <w:numId w:val="1"/>
        </w:numPr>
        <w:spacing w:line="276" w:lineRule="auto"/>
        <w:ind w:left="420" w:leftChars="0" w:hanging="420" w:firstLineChars="0"/>
        <w:rPr>
          <w:rFonts w:hint="default"/>
        </w:rPr>
      </w:pPr>
      <w:bookmarkStart w:id="15" w:name="_Toc15794"/>
      <w:r>
        <w:rPr>
          <w:rStyle w:val="15"/>
          <w:rFonts w:hint="default"/>
        </w:rPr>
        <w:t>Egypt rejects parallel Sudan government, backs state sovereignty</w:t>
      </w:r>
      <w:bookmarkEnd w:id="15"/>
      <w:r>
        <w:rPr>
          <w:rFonts w:hint="default"/>
          <w:lang w:val="en-GB"/>
        </w:rPr>
        <w:t xml:space="preserve"> - </w:t>
      </w:r>
      <w:r>
        <w:rPr>
          <w:rFonts w:hint="default"/>
          <w:lang w:val="en-GB"/>
        </w:rPr>
        <w:fldChar w:fldCharType="begin"/>
      </w:r>
      <w:r>
        <w:rPr>
          <w:rFonts w:hint="default"/>
          <w:lang w:val="en-GB"/>
        </w:rPr>
        <w:instrText xml:space="preserve"> HYPERLINK "https://sudantribune.com/article303422/" </w:instrText>
      </w:r>
      <w:r>
        <w:rPr>
          <w:rFonts w:hint="default"/>
          <w:lang w:val="en-GB"/>
        </w:rPr>
        <w:fldChar w:fldCharType="separate"/>
      </w:r>
      <w:r>
        <w:rPr>
          <w:rStyle w:val="10"/>
          <w:rFonts w:hint="default"/>
          <w:lang w:val="en-GB"/>
        </w:rPr>
        <w:t>Sudan Tribune</w:t>
      </w:r>
      <w:r>
        <w:rPr>
          <w:rFonts w:hint="default"/>
          <w:lang w:val="en-GB"/>
        </w:rPr>
        <w:fldChar w:fldCharType="end"/>
      </w:r>
    </w:p>
    <w:p w14:paraId="2F9B377C">
      <w:pPr>
        <w:spacing w:line="276" w:lineRule="auto"/>
        <w:rPr>
          <w:rFonts w:hint="default"/>
        </w:rPr>
      </w:pPr>
      <w:r>
        <w:rPr>
          <w:rFonts w:hint="default"/>
        </w:rPr>
        <w:t>Egypt on Wednesday rejected a move by Sudan’s paramilitary Rapid Support Forces (RSF) to form a parallel government, reaffirming its support for the sovereignty and national institutions of the Sudanese state.</w:t>
      </w:r>
      <w:r>
        <w:rPr>
          <w:rFonts w:hint="default"/>
          <w:lang w:val="en-GB"/>
        </w:rPr>
        <w:t xml:space="preserve"> </w:t>
      </w:r>
      <w:r>
        <w:rPr>
          <w:rFonts w:hint="default"/>
        </w:rPr>
        <w:t>The announcement came days after an RSF-dominated political alliance appointed a rival prime minister and presidential council. The move, which threatens to deepen Sudan’s civil war, has been condemned by regional powers including Saudi Arabia, Djibouti, the Arab League, and the African Union.</w:t>
      </w:r>
      <w:r>
        <w:rPr>
          <w:rFonts w:hint="default"/>
          <w:lang w:val="en-GB"/>
        </w:rPr>
        <w:t xml:space="preserve"> </w:t>
      </w:r>
      <w:r>
        <w:rPr>
          <w:rFonts w:hint="default"/>
        </w:rPr>
        <w:t>In a statement on Wednesday, Djibouti’s foreign ministry expressed its “categorical rejection” of any attempts to form a parallel government, calling it a threat to Sudan’s unity that does not represent the “true will of its people.” The ministry affirmed its commitment to helping achieve a comprehensive peace in Sudan.</w:t>
      </w:r>
      <w:r>
        <w:rPr>
          <w:rFonts w:hint="default"/>
          <w:lang w:val="en-GB"/>
        </w:rPr>
        <w:t xml:space="preserve"> </w:t>
      </w:r>
      <w:r>
        <w:rPr>
          <w:rFonts w:hint="default"/>
        </w:rPr>
        <w:t>Meanwhile, in a phone call with Sudanese State Minister for Foreign Affairs Omer Siddig, Egyptian Foreign Minister Badr Abdelatty expressed “Egypt’s continued support for Sudan’s sovereignty, its national institutions, and the unity and integrity of its territory,” the Egyptian foreign ministry said in a statement.</w:t>
      </w:r>
      <w:r>
        <w:rPr>
          <w:rFonts w:hint="default"/>
          <w:lang w:val="en-GB"/>
        </w:rPr>
        <w:t xml:space="preserve"> </w:t>
      </w:r>
      <w:r>
        <w:rPr>
          <w:rFonts w:hint="default"/>
        </w:rPr>
        <w:t>Abdelatty added that Egypt rejects “any steps that threaten the unity of Sudan.”</w:t>
      </w:r>
      <w:r>
        <w:rPr>
          <w:rFonts w:hint="default"/>
          <w:lang w:val="en-GB"/>
        </w:rPr>
        <w:t xml:space="preserve"> </w:t>
      </w:r>
      <w:r>
        <w:rPr>
          <w:rFonts w:hint="default"/>
        </w:rPr>
        <w:t>The discussions also covered Egypt’s diplomatic initiatives, including its involvement in the International Quartet on Sudan, the statement said.</w:t>
      </w:r>
      <w:r>
        <w:rPr>
          <w:rFonts w:hint="default"/>
          <w:lang w:val="en-GB"/>
        </w:rPr>
        <w:t xml:space="preserve"> </w:t>
      </w:r>
      <w:r>
        <w:rPr>
          <w:rFonts w:hint="default"/>
        </w:rPr>
        <w:t>The Sudanese minister expressed his appreciation for Egypt’s support for his country’s security and sovereignty, according to the ministry. In a separate meeting in Port Sudan, Siddig also thanked Egypt’s ambassador, Hani Salah, for Cairo’s role in supporting the Sudanese government in international forums.</w:t>
      </w:r>
    </w:p>
    <w:p w14:paraId="2D65B176">
      <w:pPr>
        <w:pStyle w:val="3"/>
        <w:bidi w:val="0"/>
        <w:rPr>
          <w:rFonts w:hint="default"/>
          <w:lang w:val="en-GB"/>
        </w:rPr>
      </w:pPr>
      <w:bookmarkStart w:id="16" w:name="_Toc27673"/>
      <w:r>
        <w:rPr>
          <w:rFonts w:hint="default"/>
          <w:lang w:val="en-GB"/>
        </w:rPr>
        <w:t>South Sudan</w:t>
      </w:r>
      <w:bookmarkEnd w:id="16"/>
    </w:p>
    <w:p w14:paraId="2F8F8DBF">
      <w:pPr>
        <w:numPr>
          <w:ilvl w:val="0"/>
          <w:numId w:val="1"/>
        </w:numPr>
        <w:spacing w:line="276" w:lineRule="auto"/>
        <w:ind w:left="420" w:leftChars="0" w:hanging="420" w:firstLineChars="0"/>
        <w:rPr>
          <w:rFonts w:hint="default"/>
          <w:lang w:val="en-GB"/>
        </w:rPr>
      </w:pPr>
      <w:bookmarkStart w:id="17" w:name="_Toc11601"/>
      <w:r>
        <w:rPr>
          <w:rStyle w:val="15"/>
          <w:rFonts w:hint="default"/>
          <w:lang w:val="en-GB"/>
        </w:rPr>
        <w:t xml:space="preserve">South Sudan defends UAE-funded hospital near Sudan border </w:t>
      </w:r>
      <w:bookmarkEnd w:id="17"/>
      <w:r>
        <w:rPr>
          <w:rFonts w:hint="default"/>
          <w:lang w:val="en-GB"/>
        </w:rPr>
        <w:t xml:space="preserve">- </w:t>
      </w:r>
      <w:r>
        <w:rPr>
          <w:rFonts w:hint="default"/>
          <w:lang w:val="en-GB"/>
        </w:rPr>
        <w:fldChar w:fldCharType="begin"/>
      </w:r>
      <w:r>
        <w:rPr>
          <w:rFonts w:hint="default"/>
          <w:lang w:val="en-GB"/>
        </w:rPr>
        <w:instrText xml:space="preserve"> HYPERLINK "https://sudantribune.com/article303401/" </w:instrText>
      </w:r>
      <w:r>
        <w:rPr>
          <w:rFonts w:hint="default"/>
          <w:lang w:val="en-GB"/>
        </w:rPr>
        <w:fldChar w:fldCharType="separate"/>
      </w:r>
      <w:r>
        <w:rPr>
          <w:rStyle w:val="10"/>
          <w:rFonts w:hint="default"/>
          <w:lang w:val="en-GB"/>
        </w:rPr>
        <w:t>Sudan Tribune</w:t>
      </w:r>
      <w:r>
        <w:rPr>
          <w:rFonts w:hint="default"/>
          <w:lang w:val="en-GB"/>
        </w:rPr>
        <w:fldChar w:fldCharType="end"/>
      </w:r>
    </w:p>
    <w:p w14:paraId="2C656D47">
      <w:pPr>
        <w:spacing w:line="276" w:lineRule="auto"/>
        <w:rPr>
          <w:rFonts w:hint="default"/>
          <w:lang w:val="en-GB"/>
        </w:rPr>
      </w:pPr>
      <w:r>
        <w:rPr>
          <w:rFonts w:hint="default"/>
          <w:lang w:val="en-GB"/>
        </w:rPr>
        <w:t>South Sudan on Tuesday defended a new field hospital funded by the United Arab Emirates, dismissing media reports and allegations that the facility is part of a foreign agenda to influence the civil war in neighbouring Sudan. Deputy Foreign Minister Akuei Bona Malwal stated that the hospital’s purpose was strictly humanitarian, amidst claims it could serve as a channel for covert support to one of the factions in Sudan’s conflict. “The truth is that the field hospital is there to serve the people… It was not meant to support or advance foreign interest against another,” Malwal told reporters in Juba. The facility in question, the Madhol Field Hospital, was inaugurated on March 10 by officials from South Sudan and the UAE in Aweil East County, Northern Bahr el-Ghazal State. It is located approximately 64 kilometres (40 miles) south of the Sudanese border. According to the South Sudanese government, the 100-bed hospital was constructed between November and December 2023 to provide care for nearly 2.4 million people, including local communities and thousands of refugees and returnees fleeing the war in Sudan. The allegations, which Juba denies, suggest the hospital could be used as a logistics hub by the UAE to supply weapons to Sudan’s paramilitary Rapid Support Forces (RSF), which is fighting the Sudanese Armed Forces (SAF). The UAE has also denied providing military support to any of Sudan’s warring factions. The conflict in Sudan, which began in April 2023, has strained regional relations and disrupted the flow of South Sudan’s crude oil exports, which rely on a pipeline running through Sudan to the Red Sea. South Sudan’s government has attempted to mediate the conflict, with President Salva Kiir hosting talks between Sudanese political groups. These efforts, along with other international mediations, have so far stalled. Malwal reiterated his country’s commitment to finding a peaceful settlement, arguing that stability in Sudan directly benefits South Sudan’s security and economy. “War is never the solution. It exacerbates the suffering and prolongs the conflict,” he said. “A stable and peaceful Sudan has positive impacts on our relations.”</w:t>
      </w:r>
    </w:p>
    <w:p w14:paraId="4FEB8E1F">
      <w:pPr>
        <w:spacing w:line="276" w:lineRule="auto"/>
      </w:pPr>
      <w:r>
        <w:t>_______________________________________________________________________</w:t>
      </w:r>
    </w:p>
    <w:p w14:paraId="1AB80DAF">
      <w:pPr>
        <w:spacing w:line="276" w:lineRule="auto"/>
        <w:outlineLvl w:val="0"/>
        <w:rPr>
          <w:rFonts w:eastAsia="DengXian Light" w:cs="Times New Roman"/>
          <w:b/>
          <w:bCs/>
          <w:color w:val="2F5496"/>
          <w:szCs w:val="24"/>
          <w:u w:val="single"/>
        </w:rPr>
      </w:pPr>
      <w:bookmarkStart w:id="18" w:name="_Toc26131"/>
      <w:r>
        <w:rPr>
          <w:rFonts w:eastAsia="DengXian Light" w:cs="Times New Roman"/>
          <w:b/>
          <w:bCs/>
          <w:color w:val="2F5496"/>
          <w:szCs w:val="24"/>
          <w:u w:val="single"/>
        </w:rPr>
        <w:t>Gulf Region and the Middle East</w:t>
      </w:r>
      <w:bookmarkEnd w:id="18"/>
    </w:p>
    <w:p w14:paraId="21F1C4EC">
      <w:pPr>
        <w:pStyle w:val="3"/>
      </w:pPr>
      <w:bookmarkStart w:id="19" w:name="_Toc24957"/>
      <w:r>
        <w:t>Egypt</w:t>
      </w:r>
      <w:bookmarkEnd w:id="19"/>
    </w:p>
    <w:p w14:paraId="77644BFF">
      <w:pPr>
        <w:numPr>
          <w:ilvl w:val="0"/>
          <w:numId w:val="1"/>
        </w:numPr>
        <w:spacing w:line="276" w:lineRule="auto"/>
        <w:ind w:left="420" w:leftChars="0" w:hanging="420" w:firstLineChars="0"/>
        <w:rPr>
          <w:rFonts w:hint="default"/>
        </w:rPr>
      </w:pPr>
      <w:bookmarkStart w:id="20" w:name="_Toc27994"/>
      <w:r>
        <w:rPr>
          <w:rStyle w:val="15"/>
          <w:rFonts w:hint="default"/>
        </w:rPr>
        <w:t>Rubio, Egyptian foreign minister discuss Gaza, Sudan</w:t>
      </w:r>
      <w:r>
        <w:rPr>
          <w:rStyle w:val="15"/>
          <w:rFonts w:hint="default"/>
          <w:lang w:val="en-GB"/>
        </w:rPr>
        <w:t xml:space="preserve"> </w:t>
      </w:r>
      <w:bookmarkEnd w:id="20"/>
      <w:r>
        <w:rPr>
          <w:rFonts w:hint="default"/>
          <w:lang w:val="en-GB"/>
        </w:rPr>
        <w:t xml:space="preserve">- </w:t>
      </w:r>
      <w:r>
        <w:rPr>
          <w:rFonts w:hint="default"/>
          <w:lang w:val="en-GB"/>
        </w:rPr>
        <w:fldChar w:fldCharType="begin"/>
      </w:r>
      <w:r>
        <w:rPr>
          <w:rFonts w:hint="default"/>
          <w:lang w:val="en-GB"/>
        </w:rPr>
        <w:instrText xml:space="preserve"> HYPERLINK "https://www.middleeastmonitor.com/20250731-rubio-egyptian-foreign-minister-discuss-gaza-sudan/"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709E0D07">
      <w:pPr>
        <w:spacing w:line="276" w:lineRule="auto"/>
      </w:pPr>
      <w:r>
        <w:rPr>
          <w:rFonts w:hint="default"/>
        </w:rPr>
        <w:t>US Secretary of State Marco Rubio met Egyptian Foreign Minister Badr Abdelatty to discuss regional security and efforts to promote stability in the Middle East, the State Department said Thursday, Anadolu Agency reports.</w:t>
      </w:r>
      <w:r>
        <w:rPr>
          <w:rFonts w:hint="default"/>
          <w:lang w:val="en-GB"/>
        </w:rPr>
        <w:t xml:space="preserve"> </w:t>
      </w:r>
      <w:r>
        <w:rPr>
          <w:rFonts w:hint="default"/>
        </w:rPr>
        <w:t>During the meeting Wednesday at the State Department, Rubio thanked Abdelatty for “Egypt’s steadfast support in securing the release of hostages held by Hamas,” according to the State Department readout.</w:t>
      </w:r>
      <w:r>
        <w:rPr>
          <w:rFonts w:hint="default"/>
          <w:lang w:val="en-GB"/>
        </w:rPr>
        <w:t xml:space="preserve"> </w:t>
      </w:r>
      <w:r>
        <w:rPr>
          <w:rFonts w:hint="default"/>
        </w:rPr>
        <w:t>“Secretary Rubio and Foreign Minister Abdelatty also discussed the necessity of a transition to civilian governance in Sudan,” it added.</w:t>
      </w:r>
      <w:r>
        <w:rPr>
          <w:rFonts w:hint="default"/>
          <w:lang w:val="en-GB"/>
        </w:rPr>
        <w:t xml:space="preserve"> </w:t>
      </w:r>
      <w:r>
        <w:rPr>
          <w:rFonts w:hint="default"/>
        </w:rPr>
        <w:t>The Egyptian Foreign Ministry wrote on X that the productive meeting covered strengthening the strategic partnership, key regional crises and Egypt’s water security.</w:t>
      </w:r>
      <w:r>
        <w:rPr>
          <w:rFonts w:hint="default"/>
          <w:lang w:val="en-GB"/>
        </w:rPr>
        <w:t xml:space="preserve"> </w:t>
      </w:r>
      <w:r>
        <w:rPr>
          <w:rFonts w:hint="default"/>
        </w:rPr>
        <w:t>The meeting comes amid growing alarm from humanitarian agencies about mass starvation in the Gaza Strip, where Palestinians have been enduring a blockade on food and aid.</w:t>
      </w:r>
      <w:r>
        <w:rPr>
          <w:rFonts w:hint="default"/>
          <w:lang w:val="en-GB"/>
        </w:rPr>
        <w:t xml:space="preserve"> </w:t>
      </w:r>
      <w:r>
        <w:rPr>
          <w:rFonts w:hint="default"/>
        </w:rPr>
        <w:t>Israel continues a brutal offensive on Gaza since Oct. 7, 2023, killing more than 60,200 Palestinians, most of them women and children. The relentless bombardment has devastated the enclave and led to food shortages.</w:t>
      </w:r>
    </w:p>
    <w:p w14:paraId="022CF10A">
      <w:pPr>
        <w:pStyle w:val="3"/>
      </w:pPr>
      <w:bookmarkStart w:id="21" w:name="_Toc16870"/>
      <w:r>
        <w:t>Iran</w:t>
      </w:r>
      <w:bookmarkEnd w:id="21"/>
    </w:p>
    <w:p w14:paraId="03D685B2">
      <w:pPr>
        <w:numPr>
          <w:ilvl w:val="0"/>
          <w:numId w:val="1"/>
        </w:numPr>
        <w:spacing w:line="276" w:lineRule="auto"/>
        <w:ind w:left="420" w:leftChars="0" w:hanging="420" w:firstLineChars="0"/>
      </w:pPr>
      <w:bookmarkStart w:id="22" w:name="_Toc17547"/>
      <w:r>
        <w:rPr>
          <w:rStyle w:val="15"/>
          <w:rFonts w:hint="default"/>
        </w:rPr>
        <w:t>Iran demands US compensation before nuclear talks can resume</w:t>
      </w:r>
      <w:bookmarkEnd w:id="22"/>
      <w:r>
        <w:rPr>
          <w:rFonts w:hint="default"/>
          <w:lang w:val="en-GB"/>
        </w:rPr>
        <w:t xml:space="preserve"> - </w:t>
      </w:r>
      <w:r>
        <w:rPr>
          <w:rFonts w:hint="default"/>
          <w:lang w:val="en-GB"/>
        </w:rPr>
        <w:fldChar w:fldCharType="begin"/>
      </w:r>
      <w:r>
        <w:rPr>
          <w:rFonts w:hint="default"/>
          <w:lang w:val="en-GB"/>
        </w:rPr>
        <w:instrText xml:space="preserve"> HYPERLINK "https://www.middleeastmonitor.com/20250731-iran-demands-us-compensation-before-nuclear-talks-can-resume/"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73DEDE28">
      <w:pPr>
        <w:spacing w:line="276" w:lineRule="auto"/>
      </w:pPr>
      <w:r>
        <w:rPr>
          <w:rFonts w:hint="default"/>
        </w:rPr>
        <w:t>Iran’s Foreign Minister Abbas Araghchi has demanded that the US pay compensation for the damage inflicted during last month’s war, as a condition for resuming nuclear negotiations. In an interview with the Financial Times, Araghchi warned that the “road to negotiation is narrow” and that Tehran would not tolerate a return to “business as usual” after what he described as an unprovoked US assault.</w:t>
      </w:r>
      <w:r>
        <w:rPr>
          <w:rFonts w:hint="default"/>
          <w:lang w:val="en-GB"/>
        </w:rPr>
        <w:t xml:space="preserve"> </w:t>
      </w:r>
      <w:r>
        <w:rPr>
          <w:rFonts w:hint="default"/>
        </w:rPr>
        <w:t>“They should explain why they attacked us in the middle of . . . negotiations, and they have to ensure that they are not going to repeat that [during future talks],” Araghchi said. “And they have to compensate [Iran for] the damage that they have done.”</w:t>
      </w:r>
      <w:r>
        <w:rPr>
          <w:rFonts w:hint="default"/>
          <w:lang w:val="en-GB"/>
        </w:rPr>
        <w:t xml:space="preserve"> </w:t>
      </w:r>
      <w:r>
        <w:rPr>
          <w:rFonts w:hint="default"/>
        </w:rPr>
        <w:t>His comments follow a devastating 12-day war triggered by Israeli air strikes on Iran, during which Washington launched missiles at several nuclear facilities and enrichment sites. The US intervention — despite prior commitments not to start a war on behalf of Isarel — has fuelled public fury across Iran, undermining prospects for diplomacy and triggering new calls for the Islamic Republic to develop a nuclear deterrent.</w:t>
      </w:r>
      <w:r>
        <w:rPr>
          <w:rFonts w:hint="default"/>
          <w:lang w:val="en-GB"/>
        </w:rPr>
        <w:t xml:space="preserve"> </w:t>
      </w:r>
      <w:r>
        <w:rPr>
          <w:rFonts w:hint="default"/>
        </w:rPr>
        <w:t>While reiterating Iran’s commitment to a peaceful, civilian nuclear programme, Araghchi acknowledged that pressure is growing within the political establishment to abandon restraint. “Anti-negotiation feelings are very high,” he said. “People are telling me, ‘Don’t waste your time anymore, don’t be cheated by them.’”</w:t>
      </w:r>
      <w:r>
        <w:rPr>
          <w:rFonts w:hint="default"/>
          <w:lang w:val="en-GB"/>
        </w:rPr>
        <w:t xml:space="preserve"> </w:t>
      </w:r>
      <w:r>
        <w:rPr>
          <w:rFonts w:hint="default"/>
        </w:rPr>
        <w:t>He added: “The recent aggression proved there is no military solution for Iran’s nuclear programme, but a negotiated solution can be found.”</w:t>
      </w:r>
      <w:r>
        <w:rPr>
          <w:rFonts w:hint="default"/>
          <w:lang w:val="en-GB"/>
        </w:rPr>
        <w:t xml:space="preserve"> </w:t>
      </w:r>
      <w:r>
        <w:rPr>
          <w:rFonts w:hint="default"/>
        </w:rPr>
        <w:t>Despite sustained messaging from Washington’s special envoy Steve Witkoff, Araghchi stressed that Iran expects “real confidence-building measures” — foremost among them, financial reparations and security guarantees. “We need real confidence-building measures from their side,” he said. “My message [to Witkoff] is not that complicated.”</w:t>
      </w:r>
      <w:r>
        <w:rPr>
          <w:rFonts w:hint="default"/>
          <w:lang w:val="en-GB"/>
        </w:rPr>
        <w:t xml:space="preserve"> </w:t>
      </w:r>
      <w:r>
        <w:rPr>
          <w:rFonts w:hint="default"/>
        </w:rPr>
        <w:t>The conflict began on 13 June when Israel launched an unprovoked widespread attacks on Iranian territory just 48 hours before Araghchi and Witkoff were due to meet for indirect nuclear talks. In addition to targeting air defences and nuclear facilities, Israel killed over 1,000 people, including 13 Iranian nuclear scientists and several high-ranking military commanders. Iran responded with missile and drone strikes, killing 29 in Israel, before the US escalated the war with direct strikes on enrichment sites at Fordow and Natanz.</w:t>
      </w:r>
      <w:r>
        <w:rPr>
          <w:rFonts w:hint="default"/>
          <w:lang w:val="en-GB"/>
        </w:rPr>
        <w:t xml:space="preserve"> </w:t>
      </w:r>
      <w:r>
        <w:rPr>
          <w:rFonts w:hint="default"/>
        </w:rPr>
        <w:t>The US has insisted on “zero enrichment” as a precondition for lifting sanctions, but Araghchi dismissed the demand as a non-starter. “We can negotiate, they can present their argument and we will present our own argument,” he said. “But with zero enrichment, we don’t have a thing.”</w:t>
      </w:r>
      <w:r>
        <w:rPr>
          <w:rFonts w:hint="default"/>
          <w:lang w:val="en-GB"/>
        </w:rPr>
        <w:t xml:space="preserve"> </w:t>
      </w:r>
      <w:r>
        <w:rPr>
          <w:rFonts w:hint="default"/>
        </w:rPr>
        <w:t>The war has further exposed internal divisions within the Islamic Republic, where segments of the political class now openly call for nuclear armament as a deterrent against Israeli and US aggression. Yet Iran’s leadership continues to cite a binding religious ruling — a fatwa by Supreme Leader Ayatollah Ali Khamenei — that prohibits the development of nuclear weapons.</w:t>
      </w:r>
      <w:r>
        <w:rPr>
          <w:rFonts w:hint="default"/>
          <w:lang w:val="en-GB"/>
        </w:rPr>
        <w:t xml:space="preserve"> </w:t>
      </w:r>
      <w:r>
        <w:rPr>
          <w:rFonts w:hint="default"/>
        </w:rPr>
        <w:t>The war has also fractured Donald Trump’s political base in the US, with prominent voices in his own party condemning his decision to join Israel’s war against Iran. Critics have accused Trump of betraying his “America First” stance by dragging the country into a foreign conflict with no clear strategic benefit. While Trump’s core evangelical and pro-Israel supporters have defended the strikes as necessary to confront Iran, others warn the move could cost him vital support ahead of the presidential election.</w:t>
      </w:r>
      <w:r>
        <w:rPr>
          <w:rFonts w:hint="default"/>
          <w:lang w:val="en-GB"/>
        </w:rPr>
        <w:t xml:space="preserve"> </w:t>
      </w:r>
      <w:r>
        <w:rPr>
          <w:rFonts w:hint="default"/>
        </w:rPr>
        <w:t>Former allies have publicly questioned why Trump intervened on behalf of a state that had initiated the war and timed its attack just days before nuclear talks were due to resume.</w:t>
      </w:r>
      <w:r>
        <w:rPr>
          <w:rFonts w:hint="default"/>
          <w:lang w:val="en-GB"/>
        </w:rPr>
        <w:t xml:space="preserve"> </w:t>
      </w:r>
      <w:r>
        <w:rPr>
          <w:rFonts w:hint="default"/>
        </w:rPr>
        <w:t>Western officials believe Iran has preserved its stockpile of uranium enriched to 60 per cent purity — close to weapons-grade — despite the damage. While Iran has suspended cooperation with the International Atomic Energy Agency (IAEA), Araghchi said new talks with the nuclear watchdog may be held next month to discuss a new “modality of co-operation.”</w:t>
      </w:r>
      <w:r>
        <w:rPr>
          <w:rFonts w:hint="default"/>
          <w:lang w:val="en-GB"/>
        </w:rPr>
        <w:t xml:space="preserve"> </w:t>
      </w:r>
      <w:r>
        <w:rPr>
          <w:rFonts w:hint="default"/>
        </w:rPr>
        <w:t>Tensions with Europe are also rising. France, Germany, and the UK have warned they may trigger the “snapback” mechanism to reimpose UN sanctions unless Iran resumes cooperation. Araghchi warned such a move would be a red line.</w:t>
      </w:r>
      <w:r>
        <w:rPr>
          <w:rFonts w:hint="default"/>
          <w:lang w:val="en-GB"/>
        </w:rPr>
        <w:t xml:space="preserve"> </w:t>
      </w:r>
      <w:r>
        <w:rPr>
          <w:rFonts w:hint="default"/>
        </w:rPr>
        <w:t>“With the Europeans, there is no reason right now to negotiate because they cannot lift sanctions, they cannot do anything,” he said. “If they do snap back, that means that this is the end of the road for them.”</w:t>
      </w:r>
    </w:p>
    <w:p w14:paraId="3B66B657">
      <w:pPr>
        <w:pStyle w:val="3"/>
        <w:spacing w:line="276" w:lineRule="auto"/>
      </w:pPr>
      <w:bookmarkStart w:id="23" w:name="_Toc16816"/>
      <w:r>
        <w:t>Israel</w:t>
      </w:r>
      <w:bookmarkEnd w:id="23"/>
      <w:r>
        <w:t xml:space="preserve"> </w:t>
      </w:r>
    </w:p>
    <w:p w14:paraId="5878CAC4">
      <w:pPr>
        <w:numPr>
          <w:ilvl w:val="0"/>
          <w:numId w:val="1"/>
        </w:numPr>
        <w:spacing w:line="276" w:lineRule="auto"/>
        <w:ind w:left="420" w:leftChars="0" w:hanging="420" w:firstLineChars="0"/>
        <w:rPr>
          <w:rFonts w:hint="default"/>
        </w:rPr>
      </w:pPr>
      <w:bookmarkStart w:id="24" w:name="_Toc26929"/>
      <w:r>
        <w:rPr>
          <w:rStyle w:val="15"/>
          <w:rFonts w:hint="default"/>
        </w:rPr>
        <w:t>Ben-Gvir slams German FM over Palestine statehood recognition plans</w:t>
      </w:r>
      <w:bookmarkEnd w:id="24"/>
      <w:r>
        <w:rPr>
          <w:rFonts w:hint="default"/>
          <w:lang w:val="en-GB"/>
        </w:rPr>
        <w:t xml:space="preserve"> - </w:t>
      </w:r>
      <w:r>
        <w:rPr>
          <w:rFonts w:hint="default"/>
          <w:lang w:val="en-GB"/>
        </w:rPr>
        <w:fldChar w:fldCharType="begin"/>
      </w:r>
      <w:r>
        <w:rPr>
          <w:rFonts w:hint="default"/>
          <w:lang w:val="en-GB"/>
        </w:rPr>
        <w:instrText xml:space="preserve"> HYPERLINK "https://www.middleeastmonitor.com/20250801-ben-gvir-slams-german-fm-over-palestine-statehood-recognition-plans/"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65A6FA29">
      <w:pPr>
        <w:spacing w:line="276" w:lineRule="auto"/>
        <w:rPr>
          <w:rFonts w:hint="default"/>
        </w:rPr>
      </w:pPr>
      <w:r>
        <w:rPr>
          <w:rFonts w:hint="default"/>
        </w:rPr>
        <w:t>Israel’s National Security Minister, Itamar Ben-Gvir criticised on Thursday German Foreign Minister Johann Wadephu for calling to initiate the process of recognizing a Palestinian state based on the two- state solution.</w:t>
      </w:r>
      <w:r>
        <w:rPr>
          <w:rFonts w:hint="default"/>
          <w:lang w:val="en-GB"/>
        </w:rPr>
        <w:t xml:space="preserve"> </w:t>
      </w:r>
      <w:r>
        <w:rPr>
          <w:rFonts w:hint="default"/>
        </w:rPr>
        <w:t>Earlier in the day, Wadephul, who was scheduled to meet Israeli Prime Minister Benjamin Netanyahu on Thursday in Tel Aviv, reiterated Berlin’s support for a negotiated two-state solution, but said the process must begin now.</w:t>
      </w:r>
      <w:r>
        <w:rPr>
          <w:rFonts w:hint="default"/>
          <w:lang w:val="en-GB"/>
        </w:rPr>
        <w:t xml:space="preserve"> </w:t>
      </w:r>
      <w:r>
        <w:rPr>
          <w:rFonts w:hint="default"/>
        </w:rPr>
        <w:t>“Recognition of a Palestinian state should come at the end of negotiations,” he said, “but Germany will also be forced to react to unilateral moves”.</w:t>
      </w:r>
      <w:r>
        <w:rPr>
          <w:rFonts w:hint="default"/>
          <w:lang w:val="en-GB"/>
        </w:rPr>
        <w:t xml:space="preserve"> </w:t>
      </w:r>
      <w:r>
        <w:rPr>
          <w:rFonts w:hint="default"/>
        </w:rPr>
        <w:t>He also warned that Berlin could take “unilateral steps” of its own if Israel continued to resist progress toward peace.</w:t>
      </w:r>
      <w:r>
        <w:rPr>
          <w:rFonts w:hint="default"/>
          <w:lang w:val="en-GB"/>
        </w:rPr>
        <w:t xml:space="preserve"> </w:t>
      </w:r>
      <w:r>
        <w:rPr>
          <w:rFonts w:hint="default"/>
        </w:rPr>
        <w:t>On Wednesday, Wadephul said Israel was becoming increasingly isolated diplomatically.</w:t>
      </w:r>
      <w:r>
        <w:rPr>
          <w:rFonts w:hint="default"/>
          <w:lang w:val="en-GB"/>
        </w:rPr>
        <w:t xml:space="preserve"> </w:t>
      </w:r>
      <w:r>
        <w:rPr>
          <w:rFonts w:hint="default"/>
        </w:rPr>
        <w:t>“In view of the open threats of annexation by some in the Israeli government, a growing number of European countries are ready to recognise a state of Palestine without previous negotiations,” he said in a statement.</w:t>
      </w:r>
      <w:r>
        <w:rPr>
          <w:rFonts w:hint="default"/>
          <w:lang w:val="en-GB"/>
        </w:rPr>
        <w:t xml:space="preserve"> </w:t>
      </w:r>
      <w:r>
        <w:rPr>
          <w:rFonts w:hint="default"/>
        </w:rPr>
        <w:t>In response, Ben-Gvir accused Germany of “returning to supporting Nazism” in a social media post, referencing the Holocaust and Berlin’s growing criticism of Israel’s siege on Gaza.</w:t>
      </w:r>
      <w:r>
        <w:rPr>
          <w:rFonts w:hint="default"/>
          <w:lang w:val="en-GB"/>
        </w:rPr>
        <w:t xml:space="preserve"> </w:t>
      </w:r>
      <w:r>
        <w:rPr>
          <w:rFonts w:hint="default"/>
        </w:rPr>
        <w:t>“80 years since the Holocaust, and Germany is once again supporting Nazism,” he said.</w:t>
      </w:r>
      <w:r>
        <w:rPr>
          <w:rFonts w:hint="default"/>
          <w:lang w:val="en-GB"/>
        </w:rPr>
        <w:t xml:space="preserve"> </w:t>
      </w:r>
      <w:r>
        <w:rPr>
          <w:rFonts w:hint="default"/>
        </w:rPr>
        <w:t>Last week, the German government said it “does not intend to recognise a Palestinian state in the near future”, but stressed that it continues to consider the recognition of a Palestinian state as one of the final steps toward a two-state solution.</w:t>
      </w:r>
    </w:p>
    <w:p w14:paraId="3CB9129D">
      <w:pPr>
        <w:numPr>
          <w:ilvl w:val="0"/>
          <w:numId w:val="1"/>
        </w:numPr>
        <w:spacing w:line="276" w:lineRule="auto"/>
        <w:ind w:left="420" w:leftChars="0" w:hanging="420" w:firstLineChars="0"/>
        <w:rPr>
          <w:rFonts w:hint="default"/>
        </w:rPr>
      </w:pPr>
      <w:bookmarkStart w:id="25" w:name="_Toc19281"/>
      <w:r>
        <w:rPr>
          <w:rStyle w:val="15"/>
          <w:rFonts w:hint="default"/>
        </w:rPr>
        <w:t>Germany warns Israel of “diplomatic isolation” over Gaza humanitarian crisis</w:t>
      </w:r>
      <w:bookmarkEnd w:id="25"/>
      <w:r>
        <w:rPr>
          <w:rFonts w:hint="default"/>
          <w:lang w:val="en-GB"/>
        </w:rPr>
        <w:t xml:space="preserve"> - </w:t>
      </w:r>
      <w:r>
        <w:rPr>
          <w:rFonts w:hint="default"/>
          <w:lang w:val="en-GB"/>
        </w:rPr>
        <w:fldChar w:fldCharType="begin"/>
      </w:r>
      <w:r>
        <w:rPr>
          <w:rFonts w:hint="default"/>
          <w:lang w:val="en-GB"/>
        </w:rPr>
        <w:instrText xml:space="preserve"> HYPERLINK "https://www.middleeastmonitor.com/20250801-germany-warns-israel-of-diplomatic-isolation-over-gaza-humanitarian-crisis/"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69A7A24A">
      <w:pPr>
        <w:spacing w:line="276" w:lineRule="auto"/>
        <w:rPr>
          <w:rFonts w:hint="default"/>
        </w:rPr>
      </w:pPr>
      <w:r>
        <w:rPr>
          <w:rFonts w:hint="default"/>
        </w:rPr>
        <w:t>German Foreign Minister Johann Wadephul said Israel is becoming increasingly isolated diplomatically due to the humanitarian crisis in the Gaza Strip and mounting international moves to recognise a Palestinian state.</w:t>
      </w:r>
      <w:r>
        <w:rPr>
          <w:rFonts w:hint="default"/>
          <w:lang w:val="en-GB"/>
        </w:rPr>
        <w:t xml:space="preserve"> </w:t>
      </w:r>
      <w:r>
        <w:rPr>
          <w:rFonts w:hint="default"/>
        </w:rPr>
        <w:t>In a statement on Thursday, before heading to Israel, Wadephul said the recent UN conference on a two-state solution to the Israeli-Palestinian conflict – boycotted by the US and Israel – showed that “Israel is finding itself increasingly in the minority”. On Wednesday, 15 Western countries, including France, issued a collective call to recognize the State of Palestine and to cease fire in the Gaza Strip.</w:t>
      </w:r>
    </w:p>
    <w:p w14:paraId="0CEF8774">
      <w:pPr>
        <w:pStyle w:val="3"/>
      </w:pPr>
      <w:bookmarkStart w:id="26" w:name="_Toc15030"/>
      <w:r>
        <w:t>Palestine</w:t>
      </w:r>
      <w:bookmarkEnd w:id="26"/>
      <w:r>
        <w:t xml:space="preserve"> </w:t>
      </w:r>
    </w:p>
    <w:p w14:paraId="57DE26EA">
      <w:pPr>
        <w:numPr>
          <w:ilvl w:val="0"/>
          <w:numId w:val="1"/>
        </w:numPr>
        <w:spacing w:line="276" w:lineRule="auto"/>
        <w:ind w:left="420" w:leftChars="0" w:hanging="420" w:firstLineChars="0"/>
        <w:rPr>
          <w:rFonts w:hint="default"/>
        </w:rPr>
      </w:pPr>
      <w:bookmarkStart w:id="27" w:name="_Toc3115"/>
      <w:r>
        <w:rPr>
          <w:rStyle w:val="15"/>
          <w:rFonts w:hint="default"/>
        </w:rPr>
        <w:t>Over 18,500 children killed by Israel in Gaza since October 2023: Health Ministry</w:t>
      </w:r>
      <w:bookmarkEnd w:id="27"/>
      <w:r>
        <w:rPr>
          <w:rFonts w:hint="default"/>
          <w:lang w:val="en-GB"/>
        </w:rPr>
        <w:t xml:space="preserve"> - </w:t>
      </w:r>
      <w:r>
        <w:rPr>
          <w:rFonts w:hint="default"/>
          <w:lang w:val="en-GB"/>
        </w:rPr>
        <w:fldChar w:fldCharType="begin"/>
      </w:r>
      <w:r>
        <w:rPr>
          <w:rFonts w:hint="default"/>
          <w:lang w:val="en-GB"/>
        </w:rPr>
        <w:instrText xml:space="preserve"> HYPERLINK "https://www.middleeastmonitor.com/20250731-over-18500-children-killed-by-israel-in-gaza-since-october-2023-health-ministry/"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0C542DBF">
      <w:pPr>
        <w:spacing w:line="276" w:lineRule="auto"/>
        <w:rPr>
          <w:rFonts w:hint="default"/>
        </w:rPr>
      </w:pPr>
      <w:r>
        <w:rPr>
          <w:rFonts w:hint="default"/>
        </w:rPr>
        <w:t>The Israeli army has killed 18,592 Palestinian children in the Gaza Strip since October 2023, according to official data from Gaza’s Health Ministry on Thursday, Anadolu reports.</w:t>
      </w:r>
      <w:r>
        <w:rPr>
          <w:rFonts w:hint="default"/>
          <w:lang w:val="en-GB"/>
        </w:rPr>
        <w:t xml:space="preserve"> </w:t>
      </w:r>
      <w:r>
        <w:rPr>
          <w:rFonts w:hint="default"/>
        </w:rPr>
        <w:t>The ministry’s records showed that many of the victims were killed in their earliest days of life. Some died just hours after birth, struck by Israeli airstrikes or bombs.</w:t>
      </w:r>
      <w:r>
        <w:rPr>
          <w:rFonts w:hint="default"/>
          <w:lang w:val="en-GB"/>
        </w:rPr>
        <w:t xml:space="preserve"> </w:t>
      </w:r>
      <w:r>
        <w:rPr>
          <w:rFonts w:hint="default"/>
        </w:rPr>
        <w:t>Figures released by the ministry showed that the victims included nine babies killed on the day of their birth, five killed on the first day, five on the second day, and eight on their third day.</w:t>
      </w:r>
      <w:r>
        <w:rPr>
          <w:rFonts w:hint="default"/>
          <w:lang w:val="en-GB"/>
        </w:rPr>
        <w:t xml:space="preserve"> </w:t>
      </w:r>
      <w:r>
        <w:rPr>
          <w:rFonts w:hint="default"/>
        </w:rPr>
        <w:t>The ministry explained that the dead children also included 88 aged one month, 90 aged two months, and 78 aged three months.</w:t>
      </w:r>
      <w:r>
        <w:rPr>
          <w:rFonts w:hint="default"/>
          <w:lang w:val="en-GB"/>
        </w:rPr>
        <w:t xml:space="preserve"> </w:t>
      </w:r>
      <w:r>
        <w:rPr>
          <w:rFonts w:hint="default"/>
        </w:rPr>
        <w:t>The Israeli army has pursued a brutal offensive on Gaza since Oct. 7, 2023, killing over 60,200 Palestinians. The relentless bombardment has devastated the enclave and led to food shortages.</w:t>
      </w:r>
      <w:r>
        <w:rPr>
          <w:rFonts w:hint="default"/>
          <w:lang w:val="en-GB"/>
        </w:rPr>
        <w:t xml:space="preserve"> </w:t>
      </w:r>
      <w:r>
        <w:rPr>
          <w:rFonts w:hint="default"/>
        </w:rPr>
        <w:t>On Monday, Israeli rights groups B’Tselem and Physicians for Human Rights-Israel accused Israel of committing genocide in Gaza, citing the systematic destruction of Palestinian society and the deliberate dismantling of the territory’s healthcare system.</w:t>
      </w:r>
      <w:r>
        <w:rPr>
          <w:rFonts w:hint="default"/>
          <w:lang w:val="en-GB"/>
        </w:rPr>
        <w:t xml:space="preserve"> </w:t>
      </w:r>
      <w:r>
        <w:rPr>
          <w:rFonts w:hint="default"/>
        </w:rPr>
        <w:t>Last November, the International Criminal Court issued arrest warrants for Israeli Prime Minister Benjamin Netanyahu and his former Defense Minister Yoav Gallant for war crimes and crimes against humanity in Gaza.</w:t>
      </w:r>
      <w:r>
        <w:rPr>
          <w:rFonts w:hint="default"/>
          <w:lang w:val="en-GB"/>
        </w:rPr>
        <w:t xml:space="preserve"> </w:t>
      </w:r>
      <w:r>
        <w:rPr>
          <w:rFonts w:hint="default"/>
        </w:rPr>
        <w:t>Israel also faces a genocide case at the International Court of Justice for its war on the enclave.</w:t>
      </w:r>
    </w:p>
    <w:p w14:paraId="46957DBA">
      <w:pPr>
        <w:numPr>
          <w:ilvl w:val="0"/>
          <w:numId w:val="1"/>
        </w:numPr>
        <w:spacing w:line="276" w:lineRule="auto"/>
        <w:ind w:left="420" w:leftChars="0" w:hanging="420" w:firstLineChars="0"/>
        <w:rPr>
          <w:rFonts w:hint="default"/>
        </w:rPr>
      </w:pPr>
      <w:bookmarkStart w:id="28" w:name="_Toc22029"/>
      <w:r>
        <w:rPr>
          <w:rStyle w:val="15"/>
          <w:rFonts w:hint="default"/>
        </w:rPr>
        <w:t>Palestine slams US sanctions as ‘blatant support’ for Israeli occupation</w:t>
      </w:r>
      <w:bookmarkEnd w:id="28"/>
      <w:r>
        <w:rPr>
          <w:rFonts w:hint="default"/>
          <w:lang w:val="en-GB"/>
        </w:rPr>
        <w:t xml:space="preserve"> - </w:t>
      </w:r>
      <w:r>
        <w:rPr>
          <w:rFonts w:hint="default"/>
          <w:lang w:val="en-GB"/>
        </w:rPr>
        <w:fldChar w:fldCharType="begin"/>
      </w:r>
      <w:r>
        <w:rPr>
          <w:rFonts w:hint="default"/>
          <w:lang w:val="en-GB"/>
        </w:rPr>
        <w:instrText xml:space="preserve"> HYPERLINK "https://www.middleeastmonitor.com/20250731-palestine-slams-us-sanctions-as-blatant-support-for-israeli-occupation/"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392C0061">
      <w:pPr>
        <w:spacing w:line="276" w:lineRule="auto"/>
        <w:rPr>
          <w:rFonts w:hint="default"/>
        </w:rPr>
      </w:pPr>
      <w:r>
        <w:rPr>
          <w:rFonts w:hint="default"/>
        </w:rPr>
        <w:t>A senior Palestinian official on Thursday denounced US sanctions on officials from the Palestinian Authority (PA), calling it “blatant support for Israel’s occupation” and its ongoing war on Gaza, Anadolu reports.</w:t>
      </w:r>
      <w:r>
        <w:rPr>
          <w:rFonts w:hint="default"/>
          <w:lang w:val="en-GB"/>
        </w:rPr>
        <w:t xml:space="preserve"> </w:t>
      </w:r>
      <w:r>
        <w:rPr>
          <w:rFonts w:hint="default"/>
        </w:rPr>
        <w:t>Wassel Abu Yousef, a member of the Palestine Liberation Organization (PLO)’s Executive Committee, told Anadolu the sanctions come “as the US partners in Israel’s genocidal war on Gaza.”</w:t>
      </w:r>
      <w:r>
        <w:rPr>
          <w:rFonts w:hint="default"/>
          <w:lang w:val="en-GB"/>
        </w:rPr>
        <w:t xml:space="preserve"> </w:t>
      </w:r>
      <w:r>
        <w:rPr>
          <w:rFonts w:hint="default"/>
        </w:rPr>
        <w:t>He accused Washington of “backing Israel’s crimes and its settlers,” saying the sanctions were meant to “support the occupation and its war of extermination, and to erase the Palestinian cause after the New York conference and the wave of countries announcing plans to recognize Palestine, which has risen to the top of the international agenda.”</w:t>
      </w:r>
      <w:r>
        <w:rPr>
          <w:rFonts w:hint="default"/>
          <w:lang w:val="en-GB"/>
        </w:rPr>
        <w:t xml:space="preserve"> </w:t>
      </w:r>
      <w:r>
        <w:rPr>
          <w:rFonts w:hint="default"/>
        </w:rPr>
        <w:t>Abu Yousef added that the measures also sought “to undermine Palestinian representation,” stressing that “the decision is nothing but further support for the occupation.”</w:t>
      </w:r>
      <w:r>
        <w:rPr>
          <w:rFonts w:hint="default"/>
          <w:lang w:val="en-GB"/>
        </w:rPr>
        <w:t xml:space="preserve"> </w:t>
      </w:r>
      <w:r>
        <w:rPr>
          <w:rFonts w:hint="default"/>
        </w:rPr>
        <w:t>Earlier Thursday, the US Department of State announced visa bans on PA and PLO officials, citing the 1989 PLO Commitments Compliance Act and the 2002 Middle East Peace Commitments Act.</w:t>
      </w:r>
      <w:r>
        <w:rPr>
          <w:rFonts w:hint="default"/>
          <w:lang w:val="en-GB"/>
        </w:rPr>
        <w:t xml:space="preserve"> </w:t>
      </w:r>
      <w:r>
        <w:rPr>
          <w:rFonts w:hint="default"/>
        </w:rPr>
        <w:t>It said the Palestinian leadership had “failed to comply with prior commitments,” pointing to moves at the International Criminal Court and the International Court of Justice as well as payments to prisoners.</w:t>
      </w:r>
      <w:r>
        <w:rPr>
          <w:rFonts w:hint="default"/>
          <w:lang w:val="en-GB"/>
        </w:rPr>
        <w:t xml:space="preserve"> </w:t>
      </w:r>
      <w:r>
        <w:rPr>
          <w:rFonts w:hint="default"/>
        </w:rPr>
        <w:t>The US justified the sanctions as necessary to “protect national security” and to hold the PA and PLO accountable for “undermining the prospects for peace.”</w:t>
      </w:r>
      <w:r>
        <w:rPr>
          <w:rFonts w:hint="default"/>
          <w:lang w:val="en-GB"/>
        </w:rPr>
        <w:t xml:space="preserve"> </w:t>
      </w:r>
      <w:r>
        <w:rPr>
          <w:rFonts w:hint="default"/>
        </w:rPr>
        <w:t>The sanctions came as Israel has pursued a brutal offensive on Gaza since Oct. 7, 2023, killing over 60,200 Palestinians. The relentless bombardment has devastated the enclave and led to food shortages.</w:t>
      </w:r>
      <w:r>
        <w:rPr>
          <w:rFonts w:hint="default"/>
          <w:lang w:val="en-GB"/>
        </w:rPr>
        <w:t xml:space="preserve"> </w:t>
      </w:r>
      <w:r>
        <w:rPr>
          <w:rFonts w:hint="default"/>
        </w:rPr>
        <w:t>On Monday, Israeli rights groups B’Tselem and Physicians for Human Rights-Israel accused Israel of committing genocide in Gaza, citing the systematic destruction of Palestinian society and the deliberate dismantling of the territory’s healthcare system.</w:t>
      </w:r>
    </w:p>
    <w:p w14:paraId="145DA922">
      <w:pPr>
        <w:numPr>
          <w:ilvl w:val="0"/>
          <w:numId w:val="1"/>
        </w:numPr>
        <w:spacing w:line="276" w:lineRule="auto"/>
        <w:ind w:left="420" w:leftChars="0" w:hanging="420" w:firstLineChars="0"/>
        <w:rPr>
          <w:rFonts w:hint="default"/>
        </w:rPr>
      </w:pPr>
      <w:bookmarkStart w:id="29" w:name="_Toc9753"/>
      <w:r>
        <w:rPr>
          <w:rStyle w:val="15"/>
          <w:rFonts w:hint="default"/>
        </w:rPr>
        <w:t>Hamas official: US envoy’s Gaza visit is publicity stunt</w:t>
      </w:r>
      <w:r>
        <w:rPr>
          <w:rStyle w:val="15"/>
          <w:rFonts w:hint="default"/>
          <w:lang w:val="en-GB"/>
        </w:rPr>
        <w:t xml:space="preserve"> </w:t>
      </w:r>
      <w:bookmarkEnd w:id="29"/>
      <w:r>
        <w:rPr>
          <w:rFonts w:hint="default"/>
          <w:lang w:val="en-GB"/>
        </w:rPr>
        <w:t xml:space="preserve">- </w:t>
      </w:r>
      <w:r>
        <w:rPr>
          <w:rFonts w:hint="default"/>
          <w:lang w:val="en-GB"/>
        </w:rPr>
        <w:fldChar w:fldCharType="begin"/>
      </w:r>
      <w:r>
        <w:rPr>
          <w:rFonts w:hint="default"/>
          <w:lang w:val="en-GB"/>
        </w:rPr>
        <w:instrText xml:space="preserve"> HYPERLINK "https://www.middleeastmonitor.com/20250801-hamas-official-us-envoys-gaza-visit-is-publicity-stunt/"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207E7A3A">
      <w:pPr>
        <w:spacing w:line="276" w:lineRule="auto"/>
        <w:rPr>
          <w:rFonts w:hint="default"/>
        </w:rPr>
      </w:pPr>
      <w:r>
        <w:rPr>
          <w:rFonts w:hint="default"/>
        </w:rPr>
        <w:t>A senior Hamas official has described the visit of US Middle East envoy Steve Witkoff to Gaza as a “publicity stunt” aimed at containing growing anger over US-Israeli involvement in the ongoing starvation of people in the Strip.</w:t>
      </w:r>
      <w:r>
        <w:rPr>
          <w:rFonts w:hint="default"/>
          <w:lang w:val="en-GB"/>
        </w:rPr>
        <w:t xml:space="preserve"> </w:t>
      </w:r>
      <w:r>
        <w:rPr>
          <w:rFonts w:hint="default"/>
        </w:rPr>
        <w:t>In a statement on Thursday, Izzat al-Rishq, a member of Hamas’s political bureau, said:</w:t>
      </w:r>
      <w:r>
        <w:rPr>
          <w:rFonts w:hint="default"/>
          <w:lang w:val="en-GB"/>
        </w:rPr>
        <w:t xml:space="preserve"> </w:t>
      </w:r>
      <w:r>
        <w:rPr>
          <w:rFonts w:hint="default"/>
        </w:rPr>
        <w:t>“Witkoff only sees in Gaza what the Israeli occupation wants him to see. He views the ongoing tragedy through a distorted Israeli lens.”</w:t>
      </w:r>
      <w:r>
        <w:rPr>
          <w:rFonts w:hint="default"/>
          <w:lang w:val="en-GB"/>
        </w:rPr>
        <w:t xml:space="preserve"> </w:t>
      </w:r>
      <w:r>
        <w:rPr>
          <w:rFonts w:hint="default"/>
        </w:rPr>
        <w:t>He stressed that the US envoy “will not witness the workings of the hunger guillotine known as the ‘Gaza Humanitarian Foundation’, nor how it prepares the killing ground for the Zionist war machine.”</w:t>
      </w:r>
      <w:r>
        <w:rPr>
          <w:rFonts w:hint="default"/>
          <w:lang w:val="en-GB"/>
        </w:rPr>
        <w:t xml:space="preserve"> </w:t>
      </w:r>
      <w:r>
        <w:rPr>
          <w:rFonts w:hint="default"/>
        </w:rPr>
        <w:t>Al-Rishq added that the White House’s recent recognition of famine in Gaza — after months of denial — without holding Israel accountable, “amounts to absolving the perpetrator and offering political cover for what is the worst crime in modern history.”</w:t>
      </w:r>
      <w:r>
        <w:rPr>
          <w:rFonts w:hint="default"/>
          <w:lang w:val="en-GB"/>
        </w:rPr>
        <w:t xml:space="preserve"> </w:t>
      </w:r>
      <w:r>
        <w:rPr>
          <w:rFonts w:hint="default"/>
        </w:rPr>
        <w:t>His remarks come as suffering in the besieged enclave worsens, with warnings that hunger has reached extreme levels and reports of rising deaths due to starvation.</w:t>
      </w:r>
      <w:r>
        <w:rPr>
          <w:rFonts w:hint="default"/>
          <w:lang w:val="en-GB"/>
        </w:rPr>
        <w:t xml:space="preserve"> </w:t>
      </w:r>
      <w:r>
        <w:rPr>
          <w:rFonts w:hint="default"/>
        </w:rPr>
        <w:t>The Gaza Humanitarian Foundation (GHF), founded in February 2025 amidst the prolonged Israeli assault on Gaza that started in October 2023, is a US-funded initiative working in collaboration with the Israeli military. It has been presented as a mechanism to provide humanitarian aid despite the persistent blockade.</w:t>
      </w:r>
    </w:p>
    <w:p w14:paraId="22AA2D8F">
      <w:pPr>
        <w:pStyle w:val="3"/>
      </w:pPr>
      <w:bookmarkStart w:id="30" w:name="_Toc13200"/>
      <w:r>
        <w:t>Turkey</w:t>
      </w:r>
      <w:bookmarkEnd w:id="30"/>
    </w:p>
    <w:p w14:paraId="145C72A2">
      <w:pPr>
        <w:numPr>
          <w:ilvl w:val="0"/>
          <w:numId w:val="1"/>
        </w:numPr>
        <w:spacing w:line="276" w:lineRule="auto"/>
        <w:ind w:left="420" w:leftChars="0" w:hanging="420" w:firstLineChars="0"/>
        <w:rPr>
          <w:rFonts w:hint="default"/>
        </w:rPr>
      </w:pPr>
      <w:bookmarkStart w:id="31" w:name="_Toc15948"/>
      <w:r>
        <w:rPr>
          <w:rStyle w:val="15"/>
          <w:rFonts w:hint="default"/>
        </w:rPr>
        <w:t>Turkish President vows to increase pressure on Israel to prevent humanitarian disaster in Gaza</w:t>
      </w:r>
      <w:r>
        <w:rPr>
          <w:rStyle w:val="15"/>
          <w:rFonts w:hint="default"/>
          <w:lang w:val="en-GB"/>
        </w:rPr>
        <w:t xml:space="preserve"> </w:t>
      </w:r>
      <w:bookmarkEnd w:id="31"/>
      <w:r>
        <w:rPr>
          <w:rFonts w:hint="default"/>
          <w:lang w:val="en-GB"/>
        </w:rPr>
        <w:t xml:space="preserve">- </w:t>
      </w:r>
      <w:r>
        <w:rPr>
          <w:rFonts w:hint="default"/>
          <w:lang w:val="en-GB"/>
        </w:rPr>
        <w:fldChar w:fldCharType="begin"/>
      </w:r>
      <w:r>
        <w:rPr>
          <w:rFonts w:hint="default"/>
          <w:lang w:val="en-GB"/>
        </w:rPr>
        <w:instrText xml:space="preserve"> HYPERLINK "https://www.middleeastmonitor.com/20250731-turkish-president-vows-to-increase-pressure-on-israel-to-prevent-humanitarian-disaster-in-gaza/"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14835D5C">
      <w:pPr>
        <w:spacing w:line="276" w:lineRule="auto"/>
      </w:pPr>
      <w:r>
        <w:rPr>
          <w:rFonts w:hint="default"/>
        </w:rPr>
        <w:t>Turkish President Recep Tayyip Erdogan on Thursday vowed to work to increase pressure on the Israeli government in the coming days to prevent a humanitarian disaster in Gaza, Anadolu reports.</w:t>
      </w:r>
      <w:r>
        <w:rPr>
          <w:rFonts w:hint="default"/>
          <w:lang w:val="en-GB"/>
        </w:rPr>
        <w:t xml:space="preserve"> </w:t>
      </w:r>
      <w:r>
        <w:rPr>
          <w:rFonts w:hint="default"/>
        </w:rPr>
        <w:t>During a joint press briefing with the visiting Gabonese President Brice Clotaire Oligui Nguema, Erdogan welcomed steps taken by Europe towards recognizing the State of Palestine as “very valuable.”</w:t>
      </w:r>
      <w:r>
        <w:rPr>
          <w:rFonts w:hint="default"/>
          <w:lang w:val="en-GB"/>
        </w:rPr>
        <w:t xml:space="preserve"> </w:t>
      </w:r>
      <w:r>
        <w:rPr>
          <w:rFonts w:hint="default"/>
        </w:rPr>
        <w:t>“No one can remain silent in the face of the atrocities in Gaza, where children are dying of hunger and civilians seeking food are deliberately shot,” said Erdogan.</w:t>
      </w:r>
      <w:r>
        <w:rPr>
          <w:rFonts w:hint="default"/>
          <w:lang w:val="en-GB"/>
        </w:rPr>
        <w:t xml:space="preserve"> </w:t>
      </w:r>
      <w:r>
        <w:rPr>
          <w:rFonts w:hint="default"/>
        </w:rPr>
        <w:t>He said that anyone with a shred of dignity and compassion is on the verge of losing patience over Israel’s oppression of Gaza.</w:t>
      </w:r>
      <w:r>
        <w:rPr>
          <w:rFonts w:hint="default"/>
          <w:lang w:val="en-GB"/>
        </w:rPr>
        <w:t xml:space="preserve"> </w:t>
      </w:r>
      <w:r>
        <w:rPr>
          <w:rFonts w:hint="default"/>
        </w:rPr>
        <w:t>“Our priority is delivering humanitarian aid to Gaza. We are obliged to do whatever is necessary to stop this oppression,” Erdogan said.</w:t>
      </w:r>
      <w:r>
        <w:rPr>
          <w:rFonts w:hint="default"/>
          <w:lang w:val="en-GB"/>
        </w:rPr>
        <w:t xml:space="preserve"> </w:t>
      </w:r>
      <w:r>
        <w:rPr>
          <w:rFonts w:hint="default"/>
        </w:rPr>
        <w:t>He said greater efforts to achieve a ceasefire and establish long-term peace in Gaza are critical to preventing the people of Gaza from feeling even more alone.</w:t>
      </w:r>
      <w:r>
        <w:rPr>
          <w:rFonts w:hint="default"/>
          <w:lang w:val="en-GB"/>
        </w:rPr>
        <w:t xml:space="preserve"> </w:t>
      </w:r>
      <w:r>
        <w:rPr>
          <w:rFonts w:hint="default"/>
        </w:rPr>
        <w:t>“One of the most effective responses to Israel’s genocidal policy is to support a two-state solution based on the 1967 borders. A few days ago, I called French President Macron and congratulated him on his courageous decision. I saw that President Nguema shares our sentiments regarding the prevention of a humanitarian disaster in Gaza,” Erdogan said.</w:t>
      </w:r>
    </w:p>
    <w:p w14:paraId="755C37F9">
      <w:pPr>
        <w:spacing w:line="276" w:lineRule="auto"/>
        <w:rPr>
          <w:rFonts w:cs="Times New Roman"/>
          <w:szCs w:val="24"/>
        </w:rPr>
      </w:pPr>
      <w:r>
        <w:rPr>
          <w:rFonts w:cs="Times New Roman"/>
          <w:b/>
          <w:szCs w:val="24"/>
        </w:rPr>
        <w:t>_______________________________________________________________________</w:t>
      </w:r>
    </w:p>
    <w:p w14:paraId="6DDC485C">
      <w:pPr>
        <w:spacing w:line="276" w:lineRule="auto"/>
        <w:outlineLvl w:val="0"/>
        <w:rPr>
          <w:rFonts w:eastAsia="DengXian Light" w:cs="Times New Roman"/>
          <w:b/>
          <w:bCs/>
          <w:color w:val="2F5496"/>
          <w:szCs w:val="24"/>
          <w:u w:val="single"/>
        </w:rPr>
      </w:pPr>
      <w:bookmarkStart w:id="32" w:name="_Toc16610"/>
      <w:r>
        <w:rPr>
          <w:rFonts w:eastAsia="DengXian Light" w:cs="Times New Roman"/>
          <w:b/>
          <w:bCs/>
          <w:color w:val="2F5496"/>
          <w:szCs w:val="24"/>
          <w:u w:val="single"/>
        </w:rPr>
        <w:t>Global Powers</w:t>
      </w:r>
      <w:bookmarkEnd w:id="32"/>
    </w:p>
    <w:p w14:paraId="36D0E9D5">
      <w:pPr>
        <w:pStyle w:val="3"/>
        <w:spacing w:line="276" w:lineRule="auto"/>
        <w:rPr>
          <w:lang w:eastAsia="zh-CN"/>
        </w:rPr>
      </w:pPr>
      <w:bookmarkStart w:id="33" w:name="_Toc23596"/>
      <w:r>
        <w:rPr>
          <w:rFonts w:hint="default"/>
          <w:lang w:val="en-GB" w:eastAsia="zh-CN"/>
        </w:rPr>
        <w:t>US</w:t>
      </w:r>
      <w:bookmarkEnd w:id="33"/>
      <w:r>
        <w:rPr>
          <w:lang w:eastAsia="zh-CN"/>
        </w:rPr>
        <w:t xml:space="preserve"> </w:t>
      </w:r>
    </w:p>
    <w:p w14:paraId="79391B93">
      <w:pPr>
        <w:numPr>
          <w:ilvl w:val="0"/>
          <w:numId w:val="1"/>
        </w:numPr>
        <w:spacing w:line="276" w:lineRule="auto"/>
        <w:ind w:left="420" w:leftChars="0" w:hanging="420" w:firstLineChars="0"/>
        <w:rPr>
          <w:rFonts w:hint="default"/>
        </w:rPr>
      </w:pPr>
      <w:bookmarkStart w:id="34" w:name="_Toc16092"/>
      <w:r>
        <w:rPr>
          <w:rStyle w:val="15"/>
          <w:rFonts w:hint="default"/>
        </w:rPr>
        <w:t>US sanctions Palestine Liberation Organization, Palestinian Authority</w:t>
      </w:r>
      <w:bookmarkEnd w:id="34"/>
      <w:r>
        <w:rPr>
          <w:rFonts w:hint="default"/>
          <w:lang w:val="en-GB"/>
        </w:rPr>
        <w:t xml:space="preserve"> - </w:t>
      </w:r>
      <w:r>
        <w:rPr>
          <w:rFonts w:hint="default"/>
          <w:lang w:val="en-GB"/>
        </w:rPr>
        <w:fldChar w:fldCharType="begin"/>
      </w:r>
      <w:r>
        <w:rPr>
          <w:rFonts w:hint="default"/>
          <w:lang w:val="en-GB"/>
        </w:rPr>
        <w:instrText xml:space="preserve"> HYPERLINK "https://www.middleeastmonitor.com/20250731-us-sanctions-palestine-liberation-organization-palestinian-authority/"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2B5E9EEC">
      <w:pPr>
        <w:spacing w:line="276" w:lineRule="auto"/>
        <w:rPr>
          <w:rFonts w:hint="default"/>
        </w:rPr>
      </w:pPr>
      <w:r>
        <w:rPr>
          <w:rFonts w:hint="default"/>
        </w:rPr>
        <w:t>The US imposed sanctions Thursday on the Palestine Liberation Organization (PLO) and Palestinian Authority (PA), accusing both groups of failing to comply with their commitments and undermining peace prospects in the Middle East.</w:t>
      </w:r>
      <w:r>
        <w:rPr>
          <w:rFonts w:hint="default"/>
          <w:lang w:val="en-GB"/>
        </w:rPr>
        <w:t xml:space="preserve"> </w:t>
      </w:r>
      <w:r>
        <w:rPr>
          <w:rFonts w:hint="default"/>
        </w:rPr>
        <w:t>“It is in our national security interests to impose consequences and hold the PLO and PA accountable for not complying with their commitments and undermining the prospects for peace,” the US State Department said.</w:t>
      </w:r>
      <w:r>
        <w:rPr>
          <w:rFonts w:hint="default"/>
          <w:lang w:val="en-GB"/>
        </w:rPr>
        <w:t xml:space="preserve"> </w:t>
      </w:r>
      <w:r>
        <w:rPr>
          <w:rFonts w:hint="default"/>
        </w:rPr>
        <w:t>The department also said it reported to Congress that both organizations violated the PLO Commitments Compliance Act of 1989 and Middle East Peace Commitments Act of 2002 through multiple actions.</w:t>
      </w:r>
      <w:r>
        <w:rPr>
          <w:rFonts w:hint="default"/>
          <w:lang w:val="en-GB"/>
        </w:rPr>
        <w:t xml:space="preserve"> </w:t>
      </w:r>
      <w:r>
        <w:rPr>
          <w:rFonts w:hint="default"/>
        </w:rPr>
        <w:t>It suggested violations include supporting actions at international organisations that “contradict” UN Security Council Resolutions 242 and 338, pursuing legal cases through the International Criminal Court and International Court of Justice to “internationalise its conflict with Israel,” and “continuing to support terrorism” through” incitement and glorification of violence.”</w:t>
      </w:r>
      <w:r>
        <w:rPr>
          <w:rFonts w:hint="default"/>
          <w:lang w:val="en-GB"/>
        </w:rPr>
        <w:t xml:space="preserve"> </w:t>
      </w:r>
      <w:r>
        <w:rPr>
          <w:rFonts w:hint="default"/>
        </w:rPr>
        <w:t>“The United States is imposing sanctions that deny visas to PLO members and PA officials in accordance with section 604(a)(1) of the MEPCA,” said the department.</w:t>
      </w:r>
    </w:p>
    <w:p w14:paraId="3C74B9C5">
      <w:pPr>
        <w:spacing w:line="276" w:lineRule="auto"/>
        <w:rPr>
          <w:rFonts w:hint="default"/>
          <w:lang w:val="en-GB"/>
        </w:rPr>
      </w:pPr>
    </w:p>
    <w:p w14:paraId="3C0D3EBE">
      <w:pPr>
        <w:spacing w:line="276" w:lineRule="auto"/>
      </w:pPr>
    </w:p>
    <w:p w14:paraId="632CC887">
      <w:pPr>
        <w:spacing w:line="276" w:lineRule="auto"/>
      </w:pPr>
    </w:p>
    <w:sectPr>
      <w:headerReference r:id="rId6" w:type="first"/>
      <w:footerReference r:id="rId9" w:type="first"/>
      <w:footerReference r:id="rId7" w:type="default"/>
      <w:headerReference r:id="rId5" w:type="even"/>
      <w:footerReference r:id="rId8" w:type="even"/>
      <w:pgSz w:w="12240" w:h="15840"/>
      <w:pgMar w:top="1440" w:right="1800" w:bottom="1440" w:left="180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DengXian Light">
    <w:altName w:val="SimSun"/>
    <w:panose1 w:val="00000000000000000000"/>
    <w:charset w:val="86"/>
    <w:family w:val="auto"/>
    <w:pitch w:val="default"/>
    <w:sig w:usb0="00000000" w:usb1="00000000" w:usb2="00000016" w:usb3="00000000" w:csb0="0004000F" w:csb1="00000000"/>
  </w:font>
  <w:font w:name="Microsoft YaHei">
    <w:panose1 w:val="020B0503020204020204"/>
    <w:charset w:val="86"/>
    <w:family w:val="auto"/>
    <w:pitch w:val="default"/>
    <w:sig w:usb0="80000287" w:usb1="2ACF3C50" w:usb2="00000016" w:usb3="00000000" w:csb0="0004001F" w:csb1="00000000"/>
  </w:font>
  <w:font w:name="Wingdings">
    <w:panose1 w:val="05000000000000000000"/>
    <w:charset w:val="00"/>
    <w:family w:val="auto"/>
    <w:pitch w:val="default"/>
    <w:sig w:usb0="00000000" w:usb1="00000000" w:usb2="00000000" w:usb3="00000000" w:csb0="80000000" w:csb1="00000000"/>
  </w:font>
  <w:font w:name="serif">
    <w:altName w:val="Geez Able"/>
    <w:panose1 w:val="00000000000000000000"/>
    <w:charset w:val="00"/>
    <w:family w:val="auto"/>
    <w:pitch w:val="default"/>
    <w:sig w:usb0="00000000" w:usb1="00000000" w:usb2="00000000" w:usb3="00000000" w:csb0="00000000" w:csb1="00000000"/>
  </w:font>
  <w:font w:name="Geez Able">
    <w:panose1 w:val="02000509030000020004"/>
    <w:charset w:val="00"/>
    <w:family w:val="auto"/>
    <w:pitch w:val="default"/>
    <w:sig w:usb0="800000A7" w:usb1="5000004A" w:usb2="00000800" w:usb3="00000000" w:csb0="2000001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AC8957">
    <w:pPr>
      <w:pStyle w:val="8"/>
      <w:rPr>
        <w:rFonts w:hint="default"/>
        <w:lang w:val="en-GB"/>
      </w:rPr>
    </w:pPr>
    <w:r>
      <mc:AlternateContent>
        <mc:Choice Requires="wps">
          <w:drawing>
            <wp:anchor distT="0" distB="0" distL="114300" distR="114300" simplePos="0" relativeHeight="251659264" behindDoc="0" locked="0" layoutInCell="1" allowOverlap="1">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8EFC76">
                          <w:pPr>
                            <w:pStyle w:val="8"/>
                          </w:pPr>
                          <w:r>
                            <w:t xml:space="preserve">Page </w:t>
                          </w:r>
                          <w:r>
                            <w:fldChar w:fldCharType="begin"/>
                          </w:r>
                          <w:r>
                            <w:instrText xml:space="preserve"> PAGE  \* MERGEFORMAT </w:instrText>
                          </w:r>
                          <w:r>
                            <w:fldChar w:fldCharType="separate"/>
                          </w:r>
                          <w:r>
                            <w:t>1</w:t>
                          </w:r>
                          <w:r>
                            <w:fldChar w:fldCharType="end"/>
                          </w:r>
                          <w:r>
                            <w:t xml:space="preserve"> of </w:t>
                          </w:r>
                          <w:r>
                            <w:fldChar w:fldCharType="begin"/>
                          </w:r>
                          <w:r>
                            <w:instrText xml:space="preserve"> NUMPAGES  \* MERGEFORMAT </w:instrText>
                          </w:r>
                          <w:r>
                            <w:fldChar w:fldCharType="separate"/>
                          </w:r>
                          <w:r>
                            <w:t>3</w:t>
                          </w:r>
                          <w:r>
                            <w:fldChar w:fldCharType="end"/>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Text Box 1" o:spid="_x0000_s1026" o:spt="202" type="#_x0000_t202" style="position:absolute;left:0pt;margin-left:369.75pt;margin-top:-0.35pt;height:19.15pt;width:62.25pt;mso-position-horizontal-relative:margin;z-index:251659264;mso-width-relative:page;mso-height-relative:page;" filled="f" stroked="f" coordsize="21600,21600" o:gfxdata="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Fu2XK3XAAAACAEAAA8AAAAAAAAAAQAgAAAAIgAAAGRycy9kb3ducmV2LnhtbFBLAQIUABQA&#10;AAAIAIdO4kDNG/LgKgIAAFwEAAAOAAAAAAAAAAEAIAAAACYBAABkcnMvZTJvRG9jLnhtbFBLBQYA&#10;AAAABgAGAFkBAADCBQAAAAA=&#10;">
              <v:fill on="f" focussize="0,0"/>
              <v:stroke on="f" weight="0.5pt"/>
              <v:imagedata o:title=""/>
              <o:lock v:ext="edit" aspectratio="f"/>
              <v:textbox inset="0mm,0mm,0mm,0mm" style="mso-fit-shape-to-text:t;">
                <w:txbxContent>
                  <w:p w14:paraId="228EFC76">
                    <w:pPr>
                      <w:pStyle w:val="8"/>
                    </w:pPr>
                    <w:r>
                      <w:t xml:space="preserve">Page </w:t>
                    </w:r>
                    <w:r>
                      <w:fldChar w:fldCharType="begin"/>
                    </w:r>
                    <w:r>
                      <w:instrText xml:space="preserve"> PAGE  \* MERGEFORMAT </w:instrText>
                    </w:r>
                    <w:r>
                      <w:fldChar w:fldCharType="separate"/>
                    </w:r>
                    <w:r>
                      <w:t>1</w:t>
                    </w:r>
                    <w:r>
                      <w:fldChar w:fldCharType="end"/>
                    </w:r>
                    <w:r>
                      <w:t xml:space="preserve"> of </w:t>
                    </w:r>
                    <w:r>
                      <w:fldChar w:fldCharType="begin"/>
                    </w:r>
                    <w:r>
                      <w:instrText xml:space="preserve"> NUMPAGES  \* MERGEFORMAT </w:instrText>
                    </w:r>
                    <w:r>
                      <w:fldChar w:fldCharType="separate"/>
                    </w:r>
                    <w:r>
                      <w:t>3</w:t>
                    </w:r>
                    <w:r>
                      <w:fldChar w:fldCharType="end"/>
                    </w:r>
                  </w:p>
                </w:txbxContent>
              </v:textbox>
            </v:shape>
          </w:pict>
        </mc:Fallback>
      </mc:AlternateContent>
    </w:r>
    <w:r>
      <w:t>News Highlights –</w:t>
    </w:r>
    <w:r>
      <w:rPr>
        <w:lang w:val="en-GB"/>
      </w:rPr>
      <w:t xml:space="preserve"> </w:t>
    </w:r>
    <w:r>
      <w:rPr>
        <w:rFonts w:hint="default"/>
        <w:lang w:val="en-GB"/>
      </w:rPr>
      <w:t>August 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11732D">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93E7AC">
    <w:pPr>
      <w:pStyle w:val="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993F86">
    <w:pPr>
      <w:pStyle w:val="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5E6111">
    <w:pPr>
      <w:pStyle w:val="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7DE4410"/>
    <w:multiLevelType w:val="singleLevel"/>
    <w:tmpl w:val="C7DE4410"/>
    <w:lvl w:ilvl="0" w:tentative="0">
      <w:start w:val="1"/>
      <w:numFmt w:val="bullet"/>
      <w:lvlText w:val=""/>
      <w:lvlJc w:val="left"/>
      <w:pPr>
        <w:tabs>
          <w:tab w:val="left" w:pos="420"/>
        </w:tabs>
        <w:ind w:left="420" w:leftChars="0" w:hanging="420" w:firstLineChars="0"/>
      </w:pPr>
      <w:rPr>
        <w:rFonts w:hint="default" w:ascii="Wingdings" w:hAnsi="Wingdings"/>
        <w:sz w:val="16"/>
        <w:szCs w:val="16"/>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hideSpellingErrors/>
  <w:hideGrammaticalErrors/>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6B00"/>
    <w:rsid w:val="000015F5"/>
    <w:rsid w:val="00003FD9"/>
    <w:rsid w:val="000174CF"/>
    <w:rsid w:val="00021613"/>
    <w:rsid w:val="00032867"/>
    <w:rsid w:val="00092022"/>
    <w:rsid w:val="000B27C3"/>
    <w:rsid w:val="000B5DE9"/>
    <w:rsid w:val="000F74A2"/>
    <w:rsid w:val="00150DBC"/>
    <w:rsid w:val="00171D3F"/>
    <w:rsid w:val="0017786B"/>
    <w:rsid w:val="001E0C8A"/>
    <w:rsid w:val="001E5757"/>
    <w:rsid w:val="001F70C3"/>
    <w:rsid w:val="00213FED"/>
    <w:rsid w:val="00242D03"/>
    <w:rsid w:val="00250C0C"/>
    <w:rsid w:val="002960E0"/>
    <w:rsid w:val="002A783D"/>
    <w:rsid w:val="002B138D"/>
    <w:rsid w:val="002D6D10"/>
    <w:rsid w:val="00303E88"/>
    <w:rsid w:val="003051C3"/>
    <w:rsid w:val="0030535E"/>
    <w:rsid w:val="00314B0E"/>
    <w:rsid w:val="00334888"/>
    <w:rsid w:val="003455D2"/>
    <w:rsid w:val="00346168"/>
    <w:rsid w:val="00346325"/>
    <w:rsid w:val="003703B2"/>
    <w:rsid w:val="003B0888"/>
    <w:rsid w:val="003B41DB"/>
    <w:rsid w:val="003B5014"/>
    <w:rsid w:val="003E5CB7"/>
    <w:rsid w:val="003F3A8D"/>
    <w:rsid w:val="003F4A8B"/>
    <w:rsid w:val="00403959"/>
    <w:rsid w:val="004214D3"/>
    <w:rsid w:val="00424C39"/>
    <w:rsid w:val="004342D0"/>
    <w:rsid w:val="004545ED"/>
    <w:rsid w:val="00483211"/>
    <w:rsid w:val="00495F3F"/>
    <w:rsid w:val="004A194A"/>
    <w:rsid w:val="004D40B1"/>
    <w:rsid w:val="005043C6"/>
    <w:rsid w:val="00510643"/>
    <w:rsid w:val="00544E17"/>
    <w:rsid w:val="005854F2"/>
    <w:rsid w:val="005A490F"/>
    <w:rsid w:val="005B6A1D"/>
    <w:rsid w:val="005C0C8F"/>
    <w:rsid w:val="005E3F9A"/>
    <w:rsid w:val="00647295"/>
    <w:rsid w:val="00650371"/>
    <w:rsid w:val="006609F1"/>
    <w:rsid w:val="00691D5D"/>
    <w:rsid w:val="006C1AE4"/>
    <w:rsid w:val="006D5675"/>
    <w:rsid w:val="007476D7"/>
    <w:rsid w:val="00766114"/>
    <w:rsid w:val="00782C09"/>
    <w:rsid w:val="0079337A"/>
    <w:rsid w:val="00796C33"/>
    <w:rsid w:val="007A775E"/>
    <w:rsid w:val="007D740A"/>
    <w:rsid w:val="007F6457"/>
    <w:rsid w:val="00814D06"/>
    <w:rsid w:val="008643A9"/>
    <w:rsid w:val="008C23F3"/>
    <w:rsid w:val="008C69BB"/>
    <w:rsid w:val="008D013C"/>
    <w:rsid w:val="008D280B"/>
    <w:rsid w:val="009711F0"/>
    <w:rsid w:val="009D5135"/>
    <w:rsid w:val="00A048AD"/>
    <w:rsid w:val="00A2001B"/>
    <w:rsid w:val="00A21F1E"/>
    <w:rsid w:val="00A24802"/>
    <w:rsid w:val="00A259EA"/>
    <w:rsid w:val="00A52265"/>
    <w:rsid w:val="00A75579"/>
    <w:rsid w:val="00AB79B0"/>
    <w:rsid w:val="00AE16A2"/>
    <w:rsid w:val="00AE4E17"/>
    <w:rsid w:val="00AF67F1"/>
    <w:rsid w:val="00AF6B00"/>
    <w:rsid w:val="00B0420C"/>
    <w:rsid w:val="00B16DE0"/>
    <w:rsid w:val="00BD32FE"/>
    <w:rsid w:val="00BD65CE"/>
    <w:rsid w:val="00BE0152"/>
    <w:rsid w:val="00BF029B"/>
    <w:rsid w:val="00BF6A2C"/>
    <w:rsid w:val="00C06272"/>
    <w:rsid w:val="00C75DA5"/>
    <w:rsid w:val="00CA3B84"/>
    <w:rsid w:val="00CE4A55"/>
    <w:rsid w:val="00CF771E"/>
    <w:rsid w:val="00D02C0E"/>
    <w:rsid w:val="00D13543"/>
    <w:rsid w:val="00D15F74"/>
    <w:rsid w:val="00D34FDE"/>
    <w:rsid w:val="00D44699"/>
    <w:rsid w:val="00DB23AD"/>
    <w:rsid w:val="00DC7588"/>
    <w:rsid w:val="00DD33ED"/>
    <w:rsid w:val="00DD3C17"/>
    <w:rsid w:val="00DD3C59"/>
    <w:rsid w:val="00DD6EB3"/>
    <w:rsid w:val="00DE43E2"/>
    <w:rsid w:val="00E0528A"/>
    <w:rsid w:val="00EA52E1"/>
    <w:rsid w:val="00F3115C"/>
    <w:rsid w:val="00F545DA"/>
    <w:rsid w:val="00F635A6"/>
    <w:rsid w:val="00F71035"/>
    <w:rsid w:val="00FD7496"/>
    <w:rsid w:val="02465C6E"/>
    <w:rsid w:val="03155609"/>
    <w:rsid w:val="03BD0180"/>
    <w:rsid w:val="04E47A4A"/>
    <w:rsid w:val="0507170E"/>
    <w:rsid w:val="06870B46"/>
    <w:rsid w:val="08057217"/>
    <w:rsid w:val="080A2FE9"/>
    <w:rsid w:val="082A6FA6"/>
    <w:rsid w:val="08A66900"/>
    <w:rsid w:val="0B91795F"/>
    <w:rsid w:val="0BCD220D"/>
    <w:rsid w:val="0EBC084F"/>
    <w:rsid w:val="0EF05944"/>
    <w:rsid w:val="123267B2"/>
    <w:rsid w:val="13800188"/>
    <w:rsid w:val="1461586F"/>
    <w:rsid w:val="17123F41"/>
    <w:rsid w:val="17930AD8"/>
    <w:rsid w:val="18EF75D8"/>
    <w:rsid w:val="19277122"/>
    <w:rsid w:val="19CE6A7A"/>
    <w:rsid w:val="1A530291"/>
    <w:rsid w:val="1A597455"/>
    <w:rsid w:val="1ABC0D86"/>
    <w:rsid w:val="1B5C1805"/>
    <w:rsid w:val="1BD000FF"/>
    <w:rsid w:val="1C7A3345"/>
    <w:rsid w:val="1CD77CF3"/>
    <w:rsid w:val="1D6C2B8D"/>
    <w:rsid w:val="1DA54E9A"/>
    <w:rsid w:val="1DA67E3A"/>
    <w:rsid w:val="1DF375B7"/>
    <w:rsid w:val="1EFE7AF5"/>
    <w:rsid w:val="224465AF"/>
    <w:rsid w:val="22781BD3"/>
    <w:rsid w:val="22E00B00"/>
    <w:rsid w:val="23493A04"/>
    <w:rsid w:val="24001757"/>
    <w:rsid w:val="246C2349"/>
    <w:rsid w:val="2695760A"/>
    <w:rsid w:val="27FC35AE"/>
    <w:rsid w:val="28DD085E"/>
    <w:rsid w:val="31B56A09"/>
    <w:rsid w:val="324F4CE8"/>
    <w:rsid w:val="32F1202D"/>
    <w:rsid w:val="36ED01B1"/>
    <w:rsid w:val="37321E9B"/>
    <w:rsid w:val="3D037EF0"/>
    <w:rsid w:val="3FC86C6F"/>
    <w:rsid w:val="3FFF1FDA"/>
    <w:rsid w:val="42D66C73"/>
    <w:rsid w:val="447D76AA"/>
    <w:rsid w:val="44C248CA"/>
    <w:rsid w:val="44D05498"/>
    <w:rsid w:val="457F52EB"/>
    <w:rsid w:val="45ED6AF1"/>
    <w:rsid w:val="46A81F7A"/>
    <w:rsid w:val="4A402EB8"/>
    <w:rsid w:val="4C124E49"/>
    <w:rsid w:val="4F8F445F"/>
    <w:rsid w:val="4FAF3A87"/>
    <w:rsid w:val="5054149A"/>
    <w:rsid w:val="518F1FA5"/>
    <w:rsid w:val="52337025"/>
    <w:rsid w:val="547D43D2"/>
    <w:rsid w:val="566810BD"/>
    <w:rsid w:val="569D47F1"/>
    <w:rsid w:val="57E8270B"/>
    <w:rsid w:val="5A63316B"/>
    <w:rsid w:val="5CAE4405"/>
    <w:rsid w:val="5DD616B8"/>
    <w:rsid w:val="5E45271F"/>
    <w:rsid w:val="60B552DC"/>
    <w:rsid w:val="63A54F9A"/>
    <w:rsid w:val="64233011"/>
    <w:rsid w:val="65CE1A18"/>
    <w:rsid w:val="674D0172"/>
    <w:rsid w:val="67B13CF4"/>
    <w:rsid w:val="69EA7AAD"/>
    <w:rsid w:val="6C490915"/>
    <w:rsid w:val="6D7A4A5A"/>
    <w:rsid w:val="6EC25725"/>
    <w:rsid w:val="739A616A"/>
    <w:rsid w:val="73E30541"/>
    <w:rsid w:val="74A277E7"/>
    <w:rsid w:val="75C7198D"/>
    <w:rsid w:val="76A15964"/>
    <w:rsid w:val="78D95A78"/>
    <w:rsid w:val="799B5BA7"/>
    <w:rsid w:val="7BC00C86"/>
    <w:rsid w:val="7BCF720A"/>
    <w:rsid w:val="7D687164"/>
    <w:rsid w:val="7DC242E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jc w:val="both"/>
    </w:pPr>
    <w:rPr>
      <w:rFonts w:ascii="Times New Roman" w:hAnsi="Times New Roman" w:eastAsiaTheme="minorEastAsia" w:cstheme="minorBidi"/>
      <w:sz w:val="24"/>
      <w:szCs w:val="22"/>
      <w:lang w:val="en-US" w:eastAsia="en-US" w:bidi="ar-SA"/>
    </w:rPr>
  </w:style>
  <w:style w:type="paragraph" w:styleId="2">
    <w:name w:val="heading 1"/>
    <w:basedOn w:val="1"/>
    <w:next w:val="1"/>
    <w:link w:val="19"/>
    <w:qFormat/>
    <w:uiPriority w:val="9"/>
    <w:pPr>
      <w:keepNext/>
      <w:keepLines/>
      <w:spacing w:before="480" w:after="0"/>
      <w:outlineLvl w:val="0"/>
    </w:pPr>
    <w:rPr>
      <w:rFonts w:asciiTheme="majorHAnsi" w:hAnsiTheme="majorHAnsi" w:eastAsiaTheme="majorEastAsia" w:cstheme="majorBidi"/>
      <w:b/>
      <w:bCs/>
      <w:color w:val="376092" w:themeColor="accent1" w:themeShade="BF"/>
      <w:sz w:val="28"/>
      <w:szCs w:val="28"/>
    </w:rPr>
  </w:style>
  <w:style w:type="paragraph" w:styleId="3">
    <w:name w:val="heading 2"/>
    <w:basedOn w:val="1"/>
    <w:next w:val="1"/>
    <w:link w:val="15"/>
    <w:unhideWhenUsed/>
    <w:qFormat/>
    <w:uiPriority w:val="0"/>
    <w:pPr>
      <w:keepNext/>
      <w:keepLines/>
      <w:spacing w:before="260" w:after="260" w:line="416" w:lineRule="auto"/>
      <w:outlineLvl w:val="1"/>
    </w:pPr>
    <w:rPr>
      <w:b/>
      <w:bCs/>
      <w:szCs w:val="32"/>
    </w:rPr>
  </w:style>
  <w:style w:type="paragraph" w:styleId="4">
    <w:name w:val="heading 3"/>
    <w:basedOn w:val="1"/>
    <w:next w:val="1"/>
    <w:link w:val="21"/>
    <w:semiHidden/>
    <w:unhideWhenUsed/>
    <w:qFormat/>
    <w:uiPriority w:val="9"/>
    <w:pPr>
      <w:keepNext/>
      <w:keepLines/>
      <w:spacing w:before="260" w:after="260" w:line="416" w:lineRule="auto"/>
      <w:outlineLvl w:val="2"/>
    </w:pPr>
    <w:rPr>
      <w:b/>
      <w:bCs/>
      <w:sz w:val="32"/>
      <w:szCs w:val="32"/>
    </w:rPr>
  </w:style>
  <w:style w:type="character" w:default="1" w:styleId="5">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7">
    <w:name w:val="Balloon Text"/>
    <w:basedOn w:val="1"/>
    <w:link w:val="18"/>
    <w:semiHidden/>
    <w:unhideWhenUsed/>
    <w:qFormat/>
    <w:uiPriority w:val="99"/>
    <w:pPr>
      <w:spacing w:after="0" w:line="240" w:lineRule="auto"/>
    </w:pPr>
    <w:rPr>
      <w:rFonts w:ascii="Tahoma" w:hAnsi="Tahoma" w:cs="Tahoma"/>
      <w:sz w:val="16"/>
      <w:szCs w:val="16"/>
    </w:rPr>
  </w:style>
  <w:style w:type="paragraph" w:styleId="8">
    <w:name w:val="footer"/>
    <w:basedOn w:val="1"/>
    <w:unhideWhenUsed/>
    <w:qFormat/>
    <w:uiPriority w:val="99"/>
    <w:pPr>
      <w:tabs>
        <w:tab w:val="center" w:pos="4153"/>
        <w:tab w:val="right" w:pos="8306"/>
      </w:tabs>
      <w:snapToGrid w:val="0"/>
      <w:jc w:val="left"/>
    </w:pPr>
    <w:rPr>
      <w:sz w:val="18"/>
      <w:szCs w:val="18"/>
    </w:rPr>
  </w:style>
  <w:style w:type="paragraph" w:styleId="9">
    <w:name w:val="header"/>
    <w:basedOn w:val="1"/>
    <w:unhideWhenUsed/>
    <w:qFormat/>
    <w:uiPriority w:val="99"/>
    <w:pPr>
      <w:tabs>
        <w:tab w:val="center" w:pos="4153"/>
        <w:tab w:val="right" w:pos="8306"/>
      </w:tabs>
      <w:snapToGrid w:val="0"/>
    </w:pPr>
    <w:rPr>
      <w:sz w:val="18"/>
      <w:szCs w:val="18"/>
    </w:rPr>
  </w:style>
  <w:style w:type="character" w:styleId="10">
    <w:name w:val="Hyperlink"/>
    <w:basedOn w:val="5"/>
    <w:unhideWhenUsed/>
    <w:qFormat/>
    <w:uiPriority w:val="99"/>
    <w:rPr>
      <w:color w:val="0000FF" w:themeColor="hyperlink"/>
      <w:u w:val="single"/>
      <w14:textFill>
        <w14:solidFill>
          <w14:schemeClr w14:val="hlink"/>
        </w14:solidFill>
      </w14:textFill>
    </w:rPr>
  </w:style>
  <w:style w:type="paragraph" w:styleId="11">
    <w:name w:val="Normal (Web)"/>
    <w:semiHidden/>
    <w:unhideWhenUsed/>
    <w:qFormat/>
    <w:uiPriority w:val="99"/>
    <w:pPr>
      <w:spacing w:beforeAutospacing="1" w:afterAutospacing="1"/>
    </w:pPr>
    <w:rPr>
      <w:rFonts w:ascii="Times New Roman" w:hAnsi="Times New Roman" w:eastAsia="SimSun" w:cs="Times New Roman"/>
      <w:sz w:val="24"/>
      <w:szCs w:val="24"/>
      <w:lang w:val="en-US" w:eastAsia="zh-CN" w:bidi="ar-SA"/>
    </w:rPr>
  </w:style>
  <w:style w:type="paragraph" w:styleId="12">
    <w:name w:val="Title"/>
    <w:basedOn w:val="1"/>
    <w:next w:val="1"/>
    <w:link w:val="16"/>
    <w:qFormat/>
    <w:uiPriority w:val="10"/>
    <w:pPr>
      <w:pBdr>
        <w:bottom w:val="single" w:color="4F81BD" w:themeColor="accent1" w:sz="8" w:space="4"/>
      </w:pBdr>
      <w:spacing w:after="300" w:line="240" w:lineRule="auto"/>
      <w:contextualSpacing/>
    </w:pPr>
    <w:rPr>
      <w:rFonts w:asciiTheme="majorHAnsi" w:hAnsiTheme="majorHAnsi" w:eastAsiaTheme="majorEastAsia" w:cstheme="majorBidi"/>
      <w:color w:val="17375E" w:themeColor="text2" w:themeShade="BF"/>
      <w:spacing w:val="5"/>
      <w:kern w:val="28"/>
      <w:sz w:val="52"/>
      <w:szCs w:val="52"/>
    </w:rPr>
  </w:style>
  <w:style w:type="paragraph" w:styleId="13">
    <w:name w:val="toc 1"/>
    <w:basedOn w:val="1"/>
    <w:next w:val="1"/>
    <w:qFormat/>
    <w:uiPriority w:val="39"/>
  </w:style>
  <w:style w:type="paragraph" w:styleId="14">
    <w:name w:val="toc 2"/>
    <w:basedOn w:val="1"/>
    <w:next w:val="1"/>
    <w:qFormat/>
    <w:uiPriority w:val="39"/>
    <w:pPr>
      <w:ind w:left="420" w:leftChars="200"/>
    </w:pPr>
  </w:style>
  <w:style w:type="character" w:customStyle="1" w:styleId="15">
    <w:name w:val="Heading 2 Char"/>
    <w:basedOn w:val="5"/>
    <w:link w:val="3"/>
    <w:qFormat/>
    <w:uiPriority w:val="0"/>
    <w:rPr>
      <w:rFonts w:ascii="Times New Roman" w:hAnsi="Times New Roman" w:eastAsiaTheme="minorEastAsia"/>
      <w:b/>
      <w:bCs/>
      <w:sz w:val="24"/>
      <w:szCs w:val="32"/>
    </w:rPr>
  </w:style>
  <w:style w:type="character" w:customStyle="1" w:styleId="16">
    <w:name w:val="Title Char"/>
    <w:basedOn w:val="5"/>
    <w:link w:val="12"/>
    <w:qFormat/>
    <w:uiPriority w:val="10"/>
    <w:rPr>
      <w:rFonts w:asciiTheme="majorHAnsi" w:hAnsiTheme="majorHAnsi" w:eastAsiaTheme="majorEastAsia" w:cstheme="majorBidi"/>
      <w:color w:val="17375E" w:themeColor="text2" w:themeShade="BF"/>
      <w:spacing w:val="5"/>
      <w:kern w:val="28"/>
      <w:sz w:val="52"/>
      <w:szCs w:val="52"/>
    </w:rPr>
  </w:style>
  <w:style w:type="table" w:customStyle="1" w:styleId="17">
    <w:name w:val="Table Grid1"/>
    <w:basedOn w:val="6"/>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18">
    <w:name w:val="Balloon Text Char"/>
    <w:basedOn w:val="5"/>
    <w:link w:val="7"/>
    <w:semiHidden/>
    <w:qFormat/>
    <w:uiPriority w:val="99"/>
    <w:rPr>
      <w:rFonts w:ascii="Tahoma" w:hAnsi="Tahoma" w:cs="Tahoma" w:eastAsiaTheme="minorEastAsia"/>
      <w:sz w:val="16"/>
      <w:szCs w:val="16"/>
    </w:rPr>
  </w:style>
  <w:style w:type="character" w:customStyle="1" w:styleId="19">
    <w:name w:val="Heading 1 Char"/>
    <w:basedOn w:val="5"/>
    <w:link w:val="2"/>
    <w:qFormat/>
    <w:uiPriority w:val="9"/>
    <w:rPr>
      <w:rFonts w:asciiTheme="majorHAnsi" w:hAnsiTheme="majorHAnsi" w:eastAsiaTheme="majorEastAsia" w:cstheme="majorBidi"/>
      <w:b/>
      <w:bCs/>
      <w:color w:val="376092" w:themeColor="accent1" w:themeShade="BF"/>
      <w:sz w:val="28"/>
      <w:szCs w:val="28"/>
    </w:rPr>
  </w:style>
  <w:style w:type="paragraph" w:styleId="20">
    <w:name w:val="List Paragraph"/>
    <w:basedOn w:val="1"/>
    <w:qFormat/>
    <w:uiPriority w:val="34"/>
    <w:pPr>
      <w:ind w:left="720"/>
      <w:contextualSpacing/>
    </w:pPr>
  </w:style>
  <w:style w:type="character" w:customStyle="1" w:styleId="21">
    <w:name w:val="Heading 3 Char"/>
    <w:link w:val="4"/>
    <w:qFormat/>
    <w:uiPriority w:val="0"/>
    <w:rPr>
      <w:b/>
      <w:bCs/>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21</Pages>
  <Words>340</Words>
  <Characters>1939</Characters>
  <Lines>16</Lines>
  <Paragraphs>4</Paragraphs>
  <TotalTime>17</TotalTime>
  <ScaleCrop>false</ScaleCrop>
  <LinksUpToDate>false</LinksUpToDate>
  <CharactersWithSpaces>2275</CharactersWithSpaces>
  <Application>WPS Office_12.2.0.21931_F1E327BC-269C-435d-A152-05C5408002CA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2025-01-01T05:40:00Z</dcterms:created>
  <dc:creator>Timy</dc:creator>
  <cp:lastModifiedBy>Sitrallah.M</cp:lastModifiedBy>
  <dcterms:modified xsi:type="dcterms:W3CDTF">2025-08-01T10:46:51Z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2057-12.2.0.21931</vt:lpwstr>
  </property>
  <property fmtid="{D5CDD505-2E9C-101B-9397-08002B2CF9AE}" pid="3" name="ICV">
    <vt:lpwstr>4803C78023C241E3954E868E176569DB_13</vt:lpwstr>
  </property>
</Properties>
</file>