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11,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F700045">
          <w:pPr>
            <w:pStyle w:val="13"/>
            <w:tabs>
              <w:tab w:val="right" w:leader="dot" w:pos="8640"/>
            </w:tabs>
          </w:pPr>
          <w:bookmarkStart w:id="30" w:name="_GoBack"/>
          <w:bookmarkEnd w:id="30"/>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_Toc2072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_Toc2072 \h </w:instrText>
          </w:r>
          <w:r>
            <w:fldChar w:fldCharType="separate"/>
          </w:r>
          <w:r>
            <w:t>3</w:t>
          </w:r>
          <w:r>
            <w:fldChar w:fldCharType="end"/>
          </w:r>
          <w:r>
            <w:rPr>
              <w:rFonts w:eastAsia="Calibri" w:cs="Times New Roman"/>
              <w:szCs w:val="24"/>
            </w:rPr>
            <w:fldChar w:fldCharType="end"/>
          </w:r>
        </w:p>
        <w:p w14:paraId="175322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_Toc31556 </w:instrText>
          </w:r>
          <w:r>
            <w:rPr>
              <w:rFonts w:eastAsia="Calibri" w:cs="Times New Roman"/>
              <w:szCs w:val="24"/>
            </w:rPr>
            <w:fldChar w:fldCharType="separate"/>
          </w:r>
          <w:r>
            <w:rPr>
              <w:rFonts w:hint="default" w:ascii="Wingdings" w:hAnsi="Wingdings"/>
              <w:szCs w:val="16"/>
              <w:lang w:val="en-GB"/>
            </w:rPr>
            <w:t xml:space="preserve"> </w:t>
          </w:r>
          <w:r>
            <w:rPr>
              <w:rFonts w:hint="default"/>
            </w:rPr>
            <w:t>NEBE announces digital overhaul for upcoming 7th national elections</w:t>
          </w:r>
          <w:r>
            <w:tab/>
          </w:r>
          <w:r>
            <w:fldChar w:fldCharType="begin"/>
          </w:r>
          <w:r>
            <w:instrText xml:space="preserve"> PAGEREF _Toc31556 \h </w:instrText>
          </w:r>
          <w:r>
            <w:fldChar w:fldCharType="separate"/>
          </w:r>
          <w:r>
            <w:t>3</w:t>
          </w:r>
          <w:r>
            <w:fldChar w:fldCharType="end"/>
          </w:r>
          <w:r>
            <w:rPr>
              <w:rFonts w:eastAsia="Calibri" w:cs="Times New Roman"/>
              <w:szCs w:val="24"/>
            </w:rPr>
            <w:fldChar w:fldCharType="end"/>
          </w:r>
        </w:p>
        <w:p w14:paraId="7F70FA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_Toc26808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stresses national alignment and measurable gains in SDG pursuit</w:t>
          </w:r>
          <w:r>
            <w:tab/>
          </w:r>
          <w:r>
            <w:fldChar w:fldCharType="begin"/>
          </w:r>
          <w:r>
            <w:instrText xml:space="preserve"> PAGEREF _Toc26808 \h </w:instrText>
          </w:r>
          <w:r>
            <w:fldChar w:fldCharType="separate"/>
          </w:r>
          <w:r>
            <w:t>3</w:t>
          </w:r>
          <w:r>
            <w:fldChar w:fldCharType="end"/>
          </w:r>
          <w:r>
            <w:rPr>
              <w:rFonts w:eastAsia="Calibri" w:cs="Times New Roman"/>
              <w:szCs w:val="24"/>
            </w:rPr>
            <w:fldChar w:fldCharType="end"/>
          </w:r>
        </w:p>
        <w:p w14:paraId="5F1E8F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_Toc23842 </w:instrText>
          </w:r>
          <w:r>
            <w:rPr>
              <w:rFonts w:eastAsia="Calibri" w:cs="Times New Roman"/>
              <w:szCs w:val="24"/>
            </w:rPr>
            <w:fldChar w:fldCharType="separate"/>
          </w:r>
          <w:r>
            <w:rPr>
              <w:rFonts w:hint="default" w:ascii="Wingdings" w:hAnsi="Wingdings"/>
              <w:szCs w:val="16"/>
              <w:lang w:val="en-GB"/>
            </w:rPr>
            <w:t xml:space="preserve"> </w:t>
          </w:r>
          <w:r>
            <w:rPr>
              <w:rFonts w:hint="default"/>
            </w:rPr>
            <w:t>GSTS, civic groups accuse OCHA of “misrepresentation” of Western Tigray, warn it “legitimizes displacement” and threatens territorial integrity</w:t>
          </w:r>
          <w:r>
            <w:rPr>
              <w:rFonts w:hint="default"/>
              <w:lang w:val="en-GB"/>
            </w:rPr>
            <w:t xml:space="preserve"> </w:t>
          </w:r>
          <w:r>
            <w:tab/>
          </w:r>
          <w:r>
            <w:fldChar w:fldCharType="begin"/>
          </w:r>
          <w:r>
            <w:instrText xml:space="preserve"> PAGEREF _Toc23842 \h </w:instrText>
          </w:r>
          <w:r>
            <w:fldChar w:fldCharType="separate"/>
          </w:r>
          <w:r>
            <w:t>4</w:t>
          </w:r>
          <w:r>
            <w:fldChar w:fldCharType="end"/>
          </w:r>
          <w:r>
            <w:rPr>
              <w:rFonts w:eastAsia="Calibri" w:cs="Times New Roman"/>
              <w:szCs w:val="24"/>
            </w:rPr>
            <w:fldChar w:fldCharType="end"/>
          </w:r>
        </w:p>
        <w:p w14:paraId="49C7A9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_Toc21635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reaffirms Ethiopia’s keenness to bolster ties with Armenia</w:t>
          </w:r>
          <w:r>
            <w:rPr>
              <w:rFonts w:hint="default"/>
              <w:lang w:val="en-GB"/>
            </w:rPr>
            <w:t xml:space="preserve"> </w:t>
          </w:r>
          <w:r>
            <w:tab/>
          </w:r>
          <w:r>
            <w:fldChar w:fldCharType="begin"/>
          </w:r>
          <w:r>
            <w:instrText xml:space="preserve"> PAGEREF _Toc21635 \h </w:instrText>
          </w:r>
          <w:r>
            <w:fldChar w:fldCharType="separate"/>
          </w:r>
          <w:r>
            <w:t>5</w:t>
          </w:r>
          <w:r>
            <w:fldChar w:fldCharType="end"/>
          </w:r>
          <w:r>
            <w:rPr>
              <w:rFonts w:eastAsia="Calibri" w:cs="Times New Roman"/>
              <w:szCs w:val="24"/>
            </w:rPr>
            <w:fldChar w:fldCharType="end"/>
          </w:r>
        </w:p>
        <w:p w14:paraId="2D13E80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_Toc4021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_Toc4021 \h </w:instrText>
          </w:r>
          <w:r>
            <w:fldChar w:fldCharType="separate"/>
          </w:r>
          <w:r>
            <w:t>6</w:t>
          </w:r>
          <w:r>
            <w:fldChar w:fldCharType="end"/>
          </w:r>
          <w:r>
            <w:rPr>
              <w:rFonts w:eastAsia="Calibri" w:cs="Times New Roman"/>
              <w:szCs w:val="24"/>
            </w:rPr>
            <w:fldChar w:fldCharType="end"/>
          </w:r>
        </w:p>
        <w:p w14:paraId="79FEA3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_Toc23693 </w:instrText>
          </w:r>
          <w:r>
            <w:rPr>
              <w:rFonts w:eastAsia="Calibri" w:cs="Times New Roman"/>
              <w:szCs w:val="24"/>
            </w:rPr>
            <w:fldChar w:fldCharType="separate"/>
          </w:r>
          <w:r>
            <w:t>Somalia</w:t>
          </w:r>
          <w:r>
            <w:tab/>
          </w:r>
          <w:r>
            <w:fldChar w:fldCharType="begin"/>
          </w:r>
          <w:r>
            <w:instrText xml:space="preserve"> PAGEREF _Toc23693 \h </w:instrText>
          </w:r>
          <w:r>
            <w:fldChar w:fldCharType="separate"/>
          </w:r>
          <w:r>
            <w:t>6</w:t>
          </w:r>
          <w:r>
            <w:fldChar w:fldCharType="end"/>
          </w:r>
          <w:r>
            <w:rPr>
              <w:rFonts w:eastAsia="Calibri" w:cs="Times New Roman"/>
              <w:szCs w:val="24"/>
            </w:rPr>
            <w:fldChar w:fldCharType="end"/>
          </w:r>
        </w:p>
        <w:p w14:paraId="49A890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_Toc4969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Foreign Minister meets Kenya’s Prime Cabinet Secretary on sidelines of FOCAC summit</w:t>
          </w:r>
          <w:r>
            <w:tab/>
          </w:r>
          <w:r>
            <w:fldChar w:fldCharType="begin"/>
          </w:r>
          <w:r>
            <w:instrText xml:space="preserve"> PAGEREF _Toc4969 \h </w:instrText>
          </w:r>
          <w:r>
            <w:fldChar w:fldCharType="separate"/>
          </w:r>
          <w:r>
            <w:t>6</w:t>
          </w:r>
          <w:r>
            <w:fldChar w:fldCharType="end"/>
          </w:r>
          <w:r>
            <w:rPr>
              <w:rFonts w:eastAsia="Calibri" w:cs="Times New Roman"/>
              <w:szCs w:val="24"/>
            </w:rPr>
            <w:fldChar w:fldCharType="end"/>
          </w:r>
        </w:p>
        <w:p w14:paraId="4D818BB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_Toc3223 </w:instrText>
          </w:r>
          <w:r>
            <w:rPr>
              <w:rFonts w:eastAsia="Calibri" w:cs="Times New Roman"/>
              <w:szCs w:val="24"/>
            </w:rPr>
            <w:fldChar w:fldCharType="separate"/>
          </w:r>
          <w:r>
            <w:rPr>
              <w:rFonts w:hint="default"/>
              <w:szCs w:val="24"/>
              <w:lang w:val="en-GB"/>
            </w:rPr>
            <w:t>Kenya</w:t>
          </w:r>
          <w:r>
            <w:tab/>
          </w:r>
          <w:r>
            <w:fldChar w:fldCharType="begin"/>
          </w:r>
          <w:r>
            <w:instrText xml:space="preserve"> PAGEREF _Toc3223 \h </w:instrText>
          </w:r>
          <w:r>
            <w:fldChar w:fldCharType="separate"/>
          </w:r>
          <w:r>
            <w:t>7</w:t>
          </w:r>
          <w:r>
            <w:fldChar w:fldCharType="end"/>
          </w:r>
          <w:r>
            <w:rPr>
              <w:rFonts w:eastAsia="Calibri" w:cs="Times New Roman"/>
              <w:szCs w:val="24"/>
            </w:rPr>
            <w:fldChar w:fldCharType="end"/>
          </w:r>
        </w:p>
        <w:p w14:paraId="244097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_Toc9721 </w:instrText>
          </w:r>
          <w:r>
            <w:rPr>
              <w:rFonts w:eastAsia="Calibri" w:cs="Times New Roman"/>
              <w:szCs w:val="24"/>
            </w:rPr>
            <w:fldChar w:fldCharType="separate"/>
          </w:r>
          <w:r>
            <w:rPr>
              <w:rFonts w:hint="default" w:ascii="Wingdings" w:hAnsi="Wingdings"/>
              <w:szCs w:val="16"/>
              <w:lang w:val="en-GB"/>
            </w:rPr>
            <w:t xml:space="preserve"> </w:t>
          </w:r>
          <w:r>
            <w:rPr>
              <w:rFonts w:hint="default"/>
            </w:rPr>
            <w:t>Kenyan security forces kill two Al Shabaab militants in Mandera</w:t>
          </w:r>
          <w:r>
            <w:tab/>
          </w:r>
          <w:r>
            <w:fldChar w:fldCharType="begin"/>
          </w:r>
          <w:r>
            <w:instrText xml:space="preserve"> PAGEREF _Toc9721 \h </w:instrText>
          </w:r>
          <w:r>
            <w:fldChar w:fldCharType="separate"/>
          </w:r>
          <w:r>
            <w:t>7</w:t>
          </w:r>
          <w:r>
            <w:fldChar w:fldCharType="end"/>
          </w:r>
          <w:r>
            <w:rPr>
              <w:rFonts w:eastAsia="Calibri" w:cs="Times New Roman"/>
              <w:szCs w:val="24"/>
            </w:rPr>
            <w:fldChar w:fldCharType="end"/>
          </w:r>
        </w:p>
        <w:p w14:paraId="3CBA54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_Toc28804 </w:instrText>
          </w:r>
          <w:r>
            <w:rPr>
              <w:rFonts w:eastAsia="Calibri" w:cs="Times New Roman"/>
              <w:szCs w:val="24"/>
            </w:rPr>
            <w:fldChar w:fldCharType="separate"/>
          </w:r>
          <w:r>
            <w:t>Sudan</w:t>
          </w:r>
          <w:r>
            <w:tab/>
          </w:r>
          <w:r>
            <w:fldChar w:fldCharType="begin"/>
          </w:r>
          <w:r>
            <w:instrText xml:space="preserve"> PAGEREF _Toc28804 \h </w:instrText>
          </w:r>
          <w:r>
            <w:fldChar w:fldCharType="separate"/>
          </w:r>
          <w:r>
            <w:t>8</w:t>
          </w:r>
          <w:r>
            <w:fldChar w:fldCharType="end"/>
          </w:r>
          <w:r>
            <w:rPr>
              <w:rFonts w:eastAsia="Calibri" w:cs="Times New Roman"/>
              <w:szCs w:val="24"/>
            </w:rPr>
            <w:fldChar w:fldCharType="end"/>
          </w:r>
        </w:p>
        <w:p w14:paraId="717DD8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_Toc7298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of escalating Sudan violence, dire humanitarian needs</w:t>
          </w:r>
          <w:r>
            <w:tab/>
          </w:r>
          <w:r>
            <w:fldChar w:fldCharType="begin"/>
          </w:r>
          <w:r>
            <w:instrText xml:space="preserve"> PAGEREF _Toc7298 \h </w:instrText>
          </w:r>
          <w:r>
            <w:fldChar w:fldCharType="separate"/>
          </w:r>
          <w:r>
            <w:t>8</w:t>
          </w:r>
          <w:r>
            <w:fldChar w:fldCharType="end"/>
          </w:r>
          <w:r>
            <w:rPr>
              <w:rFonts w:eastAsia="Calibri" w:cs="Times New Roman"/>
              <w:szCs w:val="24"/>
            </w:rPr>
            <w:fldChar w:fldCharType="end"/>
          </w:r>
        </w:p>
        <w:p w14:paraId="38C465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_Toc18073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pulls back from border zone, cites threat from Libya</w:t>
          </w:r>
          <w:r>
            <w:tab/>
          </w:r>
          <w:r>
            <w:fldChar w:fldCharType="begin"/>
          </w:r>
          <w:r>
            <w:instrText xml:space="preserve"> PAGEREF _Toc18073 \h </w:instrText>
          </w:r>
          <w:r>
            <w:fldChar w:fldCharType="separate"/>
          </w:r>
          <w:r>
            <w:t>8</w:t>
          </w:r>
          <w:r>
            <w:fldChar w:fldCharType="end"/>
          </w:r>
          <w:r>
            <w:rPr>
              <w:rFonts w:eastAsia="Calibri" w:cs="Times New Roman"/>
              <w:szCs w:val="24"/>
            </w:rPr>
            <w:fldChar w:fldCharType="end"/>
          </w:r>
        </w:p>
        <w:p w14:paraId="37750A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accuses Libyan force of border attack, blames UAE for ‘aggression’</w:t>
          </w:r>
          <w:r>
            <w:tab/>
          </w:r>
          <w:r>
            <w:fldChar w:fldCharType="begin"/>
          </w:r>
          <w:r>
            <w:instrText xml:space="preserve"> PAGEREF _Toc2897 \h </w:instrText>
          </w:r>
          <w:r>
            <w:fldChar w:fldCharType="separate"/>
          </w:r>
          <w:r>
            <w:t>9</w:t>
          </w:r>
          <w:r>
            <w:fldChar w:fldCharType="end"/>
          </w:r>
          <w:r>
            <w:rPr>
              <w:rFonts w:eastAsia="Calibri" w:cs="Times New Roman"/>
              <w:szCs w:val="24"/>
            </w:rPr>
            <w:fldChar w:fldCharType="end"/>
          </w:r>
        </w:p>
        <w:p w14:paraId="09C575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_Toc19622 </w:instrText>
          </w:r>
          <w:r>
            <w:rPr>
              <w:rFonts w:eastAsia="Calibri" w:cs="Times New Roman"/>
              <w:szCs w:val="24"/>
            </w:rPr>
            <w:fldChar w:fldCharType="separate"/>
          </w:r>
          <w:r>
            <w:rPr>
              <w:rFonts w:hint="default"/>
              <w:lang w:val="en-GB"/>
            </w:rPr>
            <w:t>South Sudan</w:t>
          </w:r>
          <w:r>
            <w:tab/>
          </w:r>
          <w:r>
            <w:fldChar w:fldCharType="begin"/>
          </w:r>
          <w:r>
            <w:instrText xml:space="preserve"> PAGEREF _Toc19622 \h </w:instrText>
          </w:r>
          <w:r>
            <w:fldChar w:fldCharType="separate"/>
          </w:r>
          <w:r>
            <w:t>10</w:t>
          </w:r>
          <w:r>
            <w:fldChar w:fldCharType="end"/>
          </w:r>
          <w:r>
            <w:rPr>
              <w:rFonts w:eastAsia="Calibri" w:cs="Times New Roman"/>
              <w:szCs w:val="24"/>
            </w:rPr>
            <w:fldChar w:fldCharType="end"/>
          </w:r>
        </w:p>
        <w:p w14:paraId="180A3B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_Toc4315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South Sudan says oil exports via Sudan resume after pipeline repair </w:t>
          </w:r>
          <w:r>
            <w:tab/>
          </w:r>
          <w:r>
            <w:fldChar w:fldCharType="begin"/>
          </w:r>
          <w:r>
            <w:instrText xml:space="preserve"> PAGEREF _Toc4315 \h </w:instrText>
          </w:r>
          <w:r>
            <w:fldChar w:fldCharType="separate"/>
          </w:r>
          <w:r>
            <w:t>10</w:t>
          </w:r>
          <w:r>
            <w:fldChar w:fldCharType="end"/>
          </w:r>
          <w:r>
            <w:rPr>
              <w:rFonts w:eastAsia="Calibri" w:cs="Times New Roman"/>
              <w:szCs w:val="24"/>
            </w:rPr>
            <w:fldChar w:fldCharType="end"/>
          </w:r>
        </w:p>
        <w:p w14:paraId="28665C1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_Toc18314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_Toc18314 \h </w:instrText>
          </w:r>
          <w:r>
            <w:fldChar w:fldCharType="separate"/>
          </w:r>
          <w:r>
            <w:t>10</w:t>
          </w:r>
          <w:r>
            <w:fldChar w:fldCharType="end"/>
          </w:r>
          <w:r>
            <w:rPr>
              <w:rFonts w:eastAsia="Calibri" w:cs="Times New Roman"/>
              <w:szCs w:val="24"/>
            </w:rPr>
            <w:fldChar w:fldCharType="end"/>
          </w:r>
        </w:p>
        <w:p w14:paraId="124D1F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_Toc1479 </w:instrText>
          </w:r>
          <w:r>
            <w:rPr>
              <w:rFonts w:eastAsia="Calibri" w:cs="Times New Roman"/>
              <w:szCs w:val="24"/>
            </w:rPr>
            <w:fldChar w:fldCharType="separate"/>
          </w:r>
          <w:r>
            <w:t>Iran</w:t>
          </w:r>
          <w:r>
            <w:tab/>
          </w:r>
          <w:r>
            <w:fldChar w:fldCharType="begin"/>
          </w:r>
          <w:r>
            <w:instrText xml:space="preserve"> PAGEREF _Toc1479 \h </w:instrText>
          </w:r>
          <w:r>
            <w:fldChar w:fldCharType="separate"/>
          </w:r>
          <w:r>
            <w:t>10</w:t>
          </w:r>
          <w:r>
            <w:fldChar w:fldCharType="end"/>
          </w:r>
          <w:r>
            <w:rPr>
              <w:rFonts w:eastAsia="Calibri" w:cs="Times New Roman"/>
              <w:szCs w:val="24"/>
            </w:rPr>
            <w:fldChar w:fldCharType="end"/>
          </w:r>
        </w:p>
        <w:p w14:paraId="4099DB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_Toc8103 </w:instrText>
          </w:r>
          <w:r>
            <w:rPr>
              <w:rFonts w:eastAsia="Calibri" w:cs="Times New Roman"/>
              <w:szCs w:val="24"/>
            </w:rPr>
            <w:fldChar w:fldCharType="separate"/>
          </w:r>
          <w:r>
            <w:rPr>
              <w:rFonts w:hint="default" w:ascii="Wingdings" w:hAnsi="Wingdings"/>
              <w:szCs w:val="16"/>
              <w:lang w:val="en-GB"/>
            </w:rPr>
            <w:t xml:space="preserve"> </w:t>
          </w:r>
          <w:r>
            <w:rPr>
              <w:rFonts w:hint="default"/>
            </w:rPr>
            <w:t>Iran threatens to target Israeli nuclear sites, military infrastructure if attacked</w:t>
          </w:r>
          <w:r>
            <w:tab/>
          </w:r>
          <w:r>
            <w:fldChar w:fldCharType="begin"/>
          </w:r>
          <w:r>
            <w:instrText xml:space="preserve"> PAGEREF _Toc8103 \h </w:instrText>
          </w:r>
          <w:r>
            <w:fldChar w:fldCharType="separate"/>
          </w:r>
          <w:r>
            <w:t>10</w:t>
          </w:r>
          <w:r>
            <w:fldChar w:fldCharType="end"/>
          </w:r>
          <w:r>
            <w:rPr>
              <w:rFonts w:eastAsia="Calibri" w:cs="Times New Roman"/>
              <w:szCs w:val="24"/>
            </w:rPr>
            <w:fldChar w:fldCharType="end"/>
          </w:r>
        </w:p>
        <w:p w14:paraId="7516FA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_Toc8687 </w:instrText>
          </w:r>
          <w:r>
            <w:rPr>
              <w:rFonts w:eastAsia="Calibri" w:cs="Times New Roman"/>
              <w:szCs w:val="24"/>
            </w:rPr>
            <w:fldChar w:fldCharType="separate"/>
          </w:r>
          <w:r>
            <w:t>Israel</w:t>
          </w:r>
          <w:r>
            <w:tab/>
          </w:r>
          <w:r>
            <w:fldChar w:fldCharType="begin"/>
          </w:r>
          <w:r>
            <w:instrText xml:space="preserve"> PAGEREF _Toc8687 \h </w:instrText>
          </w:r>
          <w:r>
            <w:fldChar w:fldCharType="separate"/>
          </w:r>
          <w:r>
            <w:t>11</w:t>
          </w:r>
          <w:r>
            <w:fldChar w:fldCharType="end"/>
          </w:r>
          <w:r>
            <w:rPr>
              <w:rFonts w:eastAsia="Calibri" w:cs="Times New Roman"/>
              <w:szCs w:val="24"/>
            </w:rPr>
            <w:fldChar w:fldCharType="end"/>
          </w:r>
        </w:p>
        <w:p w14:paraId="5AD576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crisis deepens as Knesset dissolution threatened and Netanyahu manoeuvres to avoid government collapse</w:t>
          </w:r>
          <w:r>
            <w:tab/>
          </w:r>
          <w:r>
            <w:fldChar w:fldCharType="begin"/>
          </w:r>
          <w:r>
            <w:instrText xml:space="preserve"> PAGEREF _Toc590 \h </w:instrText>
          </w:r>
          <w:r>
            <w:fldChar w:fldCharType="separate"/>
          </w:r>
          <w:r>
            <w:t>11</w:t>
          </w:r>
          <w:r>
            <w:fldChar w:fldCharType="end"/>
          </w:r>
          <w:r>
            <w:rPr>
              <w:rFonts w:eastAsia="Calibri" w:cs="Times New Roman"/>
              <w:szCs w:val="24"/>
            </w:rPr>
            <w:fldChar w:fldCharType="end"/>
          </w:r>
        </w:p>
        <w:p w14:paraId="6AD0E0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_Toc26305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Netanyahu claims progress in prisoner swap negotiations with Hamas</w:t>
          </w:r>
          <w:r>
            <w:tab/>
          </w:r>
          <w:r>
            <w:fldChar w:fldCharType="begin"/>
          </w:r>
          <w:r>
            <w:instrText xml:space="preserve"> PAGEREF _Toc26305 \h </w:instrText>
          </w:r>
          <w:r>
            <w:fldChar w:fldCharType="separate"/>
          </w:r>
          <w:r>
            <w:t>12</w:t>
          </w:r>
          <w:r>
            <w:fldChar w:fldCharType="end"/>
          </w:r>
          <w:r>
            <w:rPr>
              <w:rFonts w:eastAsia="Calibri" w:cs="Times New Roman"/>
              <w:szCs w:val="24"/>
            </w:rPr>
            <w:fldChar w:fldCharType="end"/>
          </w:r>
        </w:p>
        <w:p w14:paraId="21A940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_Toc14116 </w:instrText>
          </w:r>
          <w:r>
            <w:rPr>
              <w:rFonts w:eastAsia="Calibri" w:cs="Times New Roman"/>
              <w:szCs w:val="24"/>
            </w:rPr>
            <w:fldChar w:fldCharType="separate"/>
          </w:r>
          <w:r>
            <w:t>Palestine</w:t>
          </w:r>
          <w:r>
            <w:tab/>
          </w:r>
          <w:r>
            <w:fldChar w:fldCharType="begin"/>
          </w:r>
          <w:r>
            <w:instrText xml:space="preserve"> PAGEREF _Toc14116 \h </w:instrText>
          </w:r>
          <w:r>
            <w:fldChar w:fldCharType="separate"/>
          </w:r>
          <w:r>
            <w:t>12</w:t>
          </w:r>
          <w:r>
            <w:fldChar w:fldCharType="end"/>
          </w:r>
          <w:r>
            <w:rPr>
              <w:rFonts w:eastAsia="Calibri" w:cs="Times New Roman"/>
              <w:szCs w:val="24"/>
            </w:rPr>
            <w:fldChar w:fldCharType="end"/>
          </w:r>
        </w:p>
        <w:p w14:paraId="682AB7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_Toc24948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calls for halting operations at suspicious Israel- led aid distribution “death” traps in Gaza</w:t>
          </w:r>
          <w:r>
            <w:rPr>
              <w:rFonts w:hint="default"/>
              <w:lang w:val="en-GB"/>
            </w:rPr>
            <w:t xml:space="preserve"> </w:t>
          </w:r>
          <w:r>
            <w:tab/>
          </w:r>
          <w:r>
            <w:fldChar w:fldCharType="begin"/>
          </w:r>
          <w:r>
            <w:instrText xml:space="preserve"> PAGEREF _Toc24948 \h </w:instrText>
          </w:r>
          <w:r>
            <w:fldChar w:fldCharType="separate"/>
          </w:r>
          <w:r>
            <w:t>12</w:t>
          </w:r>
          <w:r>
            <w:fldChar w:fldCharType="end"/>
          </w:r>
          <w:r>
            <w:rPr>
              <w:rFonts w:eastAsia="Calibri" w:cs="Times New Roman"/>
              <w:szCs w:val="24"/>
            </w:rPr>
            <w:fldChar w:fldCharType="end"/>
          </w:r>
        </w:p>
        <w:p w14:paraId="48A608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_Toc4621 </w:instrText>
          </w:r>
          <w:r>
            <w:rPr>
              <w:rFonts w:eastAsia="Calibri" w:cs="Times New Roman"/>
              <w:szCs w:val="24"/>
            </w:rPr>
            <w:fldChar w:fldCharType="separate"/>
          </w:r>
          <w:r>
            <w:rPr>
              <w:rFonts w:hint="default" w:ascii="Wingdings" w:hAnsi="Wingdings"/>
              <w:szCs w:val="16"/>
              <w:lang w:val="en-GB"/>
            </w:rPr>
            <w:t xml:space="preserve"> </w:t>
          </w:r>
          <w:r>
            <w:rPr>
              <w:rFonts w:hint="default"/>
            </w:rPr>
            <w:t>UN says Israel rejected 11 of its 18 humanitarian coordination requests in Gaza</w:t>
          </w:r>
          <w:r>
            <w:tab/>
          </w:r>
          <w:r>
            <w:fldChar w:fldCharType="begin"/>
          </w:r>
          <w:r>
            <w:instrText xml:space="preserve"> PAGEREF _Toc4621 \h </w:instrText>
          </w:r>
          <w:r>
            <w:fldChar w:fldCharType="separate"/>
          </w:r>
          <w:r>
            <w:t>13</w:t>
          </w:r>
          <w:r>
            <w:fldChar w:fldCharType="end"/>
          </w:r>
          <w:r>
            <w:rPr>
              <w:rFonts w:eastAsia="Calibri" w:cs="Times New Roman"/>
              <w:szCs w:val="24"/>
            </w:rPr>
            <w:fldChar w:fldCharType="end"/>
          </w:r>
        </w:p>
        <w:p w14:paraId="31AEA1F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_Toc11223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_Toc11223 \h </w:instrText>
          </w:r>
          <w:r>
            <w:fldChar w:fldCharType="separate"/>
          </w:r>
          <w:r>
            <w:t>14</w:t>
          </w:r>
          <w:r>
            <w:fldChar w:fldCharType="end"/>
          </w:r>
          <w:r>
            <w:rPr>
              <w:rFonts w:eastAsia="Calibri" w:cs="Times New Roman"/>
              <w:szCs w:val="24"/>
            </w:rPr>
            <w:fldChar w:fldCharType="end"/>
          </w:r>
        </w:p>
        <w:p w14:paraId="359EF8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_Toc27945 </w:instrText>
          </w:r>
          <w:r>
            <w:rPr>
              <w:rFonts w:eastAsia="Calibri" w:cs="Times New Roman"/>
              <w:szCs w:val="24"/>
            </w:rPr>
            <w:fldChar w:fldCharType="separate"/>
          </w:r>
          <w:r>
            <w:rPr>
              <w:rFonts w:hint="default"/>
              <w:lang w:val="en-GB" w:eastAsia="zh-CN"/>
            </w:rPr>
            <w:t>US</w:t>
          </w:r>
          <w:r>
            <w:tab/>
          </w:r>
          <w:r>
            <w:fldChar w:fldCharType="begin"/>
          </w:r>
          <w:r>
            <w:instrText xml:space="preserve"> PAGEREF _Toc27945 \h </w:instrText>
          </w:r>
          <w:r>
            <w:fldChar w:fldCharType="separate"/>
          </w:r>
          <w:r>
            <w:t>14</w:t>
          </w:r>
          <w:r>
            <w:fldChar w:fldCharType="end"/>
          </w:r>
          <w:r>
            <w:rPr>
              <w:rFonts w:eastAsia="Calibri" w:cs="Times New Roman"/>
              <w:szCs w:val="24"/>
            </w:rPr>
            <w:fldChar w:fldCharType="end"/>
          </w:r>
        </w:p>
        <w:p w14:paraId="16822E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_Toc2261 </w:instrText>
          </w:r>
          <w:r>
            <w:rPr>
              <w:rFonts w:eastAsia="Calibri" w:cs="Times New Roman"/>
              <w:szCs w:val="24"/>
            </w:rPr>
            <w:fldChar w:fldCharType="separate"/>
          </w:r>
          <w:r>
            <w:rPr>
              <w:rFonts w:hint="default" w:ascii="Wingdings" w:hAnsi="Wingdings"/>
              <w:szCs w:val="16"/>
              <w:lang w:val="en-GB"/>
            </w:rPr>
            <w:t xml:space="preserve"> </w:t>
          </w:r>
          <w:r>
            <w:rPr>
              <w:rFonts w:hint="default"/>
            </w:rPr>
            <w:t>U.S. ambassador to Israel: Washington no longer pursuing independent Palestinian state</w:t>
          </w:r>
          <w:r>
            <w:tab/>
          </w:r>
          <w:r>
            <w:fldChar w:fldCharType="begin"/>
          </w:r>
          <w:r>
            <w:instrText xml:space="preserve"> PAGEREF _Toc2261 \h </w:instrText>
          </w:r>
          <w:r>
            <w:fldChar w:fldCharType="separate"/>
          </w:r>
          <w:r>
            <w:t>14</w:t>
          </w:r>
          <w:r>
            <w:fldChar w:fldCharType="end"/>
          </w:r>
          <w:r>
            <w:rPr>
              <w:rFonts w:eastAsia="Calibri" w:cs="Times New Roman"/>
              <w:szCs w:val="24"/>
            </w:rPr>
            <w:fldChar w:fldCharType="end"/>
          </w:r>
        </w:p>
        <w:p w14:paraId="5B4701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_Toc13274 </w:instrText>
          </w:r>
          <w:r>
            <w:rPr>
              <w:rFonts w:eastAsia="Calibri" w:cs="Times New Roman"/>
              <w:szCs w:val="24"/>
            </w:rPr>
            <w:fldChar w:fldCharType="separate"/>
          </w:r>
          <w:r>
            <w:rPr>
              <w:rFonts w:hint="default"/>
              <w:lang w:val="en-GB"/>
            </w:rPr>
            <w:t>China</w:t>
          </w:r>
          <w:r>
            <w:tab/>
          </w:r>
          <w:r>
            <w:fldChar w:fldCharType="begin"/>
          </w:r>
          <w:r>
            <w:instrText xml:space="preserve"> PAGEREF _Toc13274 \h </w:instrText>
          </w:r>
          <w:r>
            <w:fldChar w:fldCharType="separate"/>
          </w:r>
          <w:r>
            <w:t>15</w:t>
          </w:r>
          <w:r>
            <w:fldChar w:fldCharType="end"/>
          </w:r>
          <w:r>
            <w:rPr>
              <w:rFonts w:eastAsia="Calibri" w:cs="Times New Roman"/>
              <w:szCs w:val="24"/>
            </w:rPr>
            <w:fldChar w:fldCharType="end"/>
          </w:r>
        </w:p>
        <w:p w14:paraId="209306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_Toc8674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U.S. agree on framework to implement leaders' consensus, says China's trade representative</w:t>
          </w:r>
          <w:r>
            <w:tab/>
          </w:r>
          <w:r>
            <w:fldChar w:fldCharType="begin"/>
          </w:r>
          <w:r>
            <w:instrText xml:space="preserve"> PAGEREF _Toc8674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072"/>
      <w:r>
        <w:rPr>
          <w:rFonts w:eastAsia="DengXian Light" w:cs="Times New Roman"/>
          <w:b/>
          <w:bCs/>
          <w:color w:val="2F5496"/>
          <w:szCs w:val="24"/>
          <w:u w:val="single"/>
        </w:rPr>
        <w:t>Ethiopia</w:t>
      </w:r>
      <w:bookmarkEnd w:id="0"/>
    </w:p>
    <w:p w14:paraId="59B3B1F0">
      <w:pPr>
        <w:numPr>
          <w:ilvl w:val="0"/>
          <w:numId w:val="1"/>
        </w:numPr>
        <w:spacing w:line="276" w:lineRule="auto"/>
        <w:ind w:left="420" w:leftChars="0" w:hanging="420" w:firstLineChars="0"/>
        <w:rPr>
          <w:rFonts w:hint="default"/>
          <w:szCs w:val="24"/>
        </w:rPr>
      </w:pPr>
      <w:bookmarkStart w:id="1" w:name="_Toc31556"/>
      <w:r>
        <w:rPr>
          <w:rStyle w:val="15"/>
          <w:rFonts w:hint="default"/>
        </w:rPr>
        <w:t>NEBE announces digital overhaul for upcoming 7th national elections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"https://www.fanamc.com/english/nebe-announces-digital-overhaul-for-upcoming-7th-national-elections/"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00A80B9">
      <w:pPr>
        <w:numPr>
          <w:numId w:val="0"/>
        </w:numPr>
        <w:spacing w:line="276" w:lineRule="auto"/>
        <w:ind w:leftChars="0"/>
        <w:rPr>
          <w:rFonts w:hint="default"/>
          <w:szCs w:val="24"/>
        </w:rPr>
      </w:pPr>
      <w:r>
        <w:rPr>
          <w:rFonts w:hint="default"/>
          <w:szCs w:val="24"/>
        </w:rPr>
        <w:t>The National Election Board of Ethiopia (NEBE) has announced that the upcoming seventh national election will be supported by a fully integrated digital system, marking a significant step toward the modernization of Ethiopia’s electoral process.</w:t>
      </w:r>
      <w:r>
        <w:rPr>
          <w:rFonts w:hint="default"/>
          <w:szCs w:val="24"/>
          <w:lang w:val="en-GB"/>
        </w:rPr>
        <w:t xml:space="preserve"> </w:t>
      </w:r>
      <w:r>
        <w:rPr>
          <w:rFonts w:hint="default"/>
          <w:szCs w:val="24"/>
        </w:rPr>
        <w:t>As part of its preparations, NEBE is rolling out a range of digital initiatives designed to enhance transparency, efficiency, and accessibility.</w:t>
      </w:r>
      <w:r>
        <w:rPr>
          <w:rFonts w:hint="default"/>
          <w:szCs w:val="24"/>
          <w:lang w:val="en-GB"/>
        </w:rPr>
        <w:t xml:space="preserve"> </w:t>
      </w:r>
      <w:r>
        <w:rPr>
          <w:rFonts w:hint="default"/>
          <w:szCs w:val="24"/>
        </w:rPr>
        <w:t>These include the launch of comprehensive digital platforms for both candidate registration and voter enrollment, two critical pillars of the electoral system.</w:t>
      </w:r>
      <w:r>
        <w:rPr>
          <w:rFonts w:hint="default"/>
          <w:szCs w:val="24"/>
          <w:lang w:val="en-GB"/>
        </w:rPr>
        <w:t xml:space="preserve"> </w:t>
      </w:r>
      <w:r>
        <w:rPr>
          <w:rFonts w:hint="default"/>
          <w:szCs w:val="24"/>
        </w:rPr>
        <w:t>To foster collaboration on this digital transformation, NEBE convened a high-level forum in Addis Ababa, bringing together representatives from political parties and key stakeholders to discuss the integration of advanced technologies into the electoral framework.</w:t>
      </w:r>
      <w:r>
        <w:rPr>
          <w:rFonts w:hint="default"/>
          <w:szCs w:val="24"/>
          <w:lang w:val="en-GB"/>
        </w:rPr>
        <w:t xml:space="preserve"> </w:t>
      </w:r>
      <w:r>
        <w:rPr>
          <w:rFonts w:hint="default"/>
          <w:szCs w:val="24"/>
        </w:rPr>
        <w:t>The forum, according to POA, aims to build consensus around the role of digital tools in delivering credible and efficient elections.</w:t>
      </w:r>
      <w:r>
        <w:rPr>
          <w:rFonts w:hint="default"/>
          <w:szCs w:val="24"/>
          <w:lang w:val="en-GB"/>
        </w:rPr>
        <w:t xml:space="preserve"> </w:t>
      </w:r>
      <w:r>
        <w:rPr>
          <w:rFonts w:hint="default"/>
          <w:szCs w:val="24"/>
        </w:rPr>
        <w:t>Speaking at the forum’s opening, NEBE Chairperson Melatwerk Hailu reaffirmed the board’s commitment to leveraging technology to strengthen democratic institutions.</w:t>
      </w:r>
      <w:r>
        <w:rPr>
          <w:rFonts w:hint="default"/>
          <w:szCs w:val="24"/>
          <w:lang w:val="en-GB"/>
        </w:rPr>
        <w:t xml:space="preserve"> </w:t>
      </w:r>
      <w:r>
        <w:rPr>
          <w:rFonts w:hint="default"/>
          <w:szCs w:val="24"/>
        </w:rPr>
        <w:t>She highlighted the development of a robust, technology-driven election management system as a major milestone in NEBE’s reform agenda.</w:t>
      </w:r>
      <w:r>
        <w:rPr>
          <w:rFonts w:hint="default"/>
          <w:szCs w:val="24"/>
          <w:lang w:val="en-GB"/>
        </w:rPr>
        <w:t xml:space="preserve"> </w:t>
      </w:r>
      <w:r>
        <w:rPr>
          <w:rFonts w:hint="default"/>
          <w:szCs w:val="24"/>
        </w:rPr>
        <w:t>Chairperson Melatwerk confirmed that digital applications for both candidate and voter registration have been fully developed and are now operational. All candidate registrations for the upcoming election will be conducted exclusively through these systems.</w:t>
      </w:r>
      <w:r>
        <w:rPr>
          <w:rFonts w:hint="default"/>
          <w:szCs w:val="24"/>
          <w:lang w:val="en-GB"/>
        </w:rPr>
        <w:t xml:space="preserve"> </w:t>
      </w:r>
      <w:r>
        <w:rPr>
          <w:rFonts w:hint="default"/>
          <w:szCs w:val="24"/>
        </w:rPr>
        <w:t>Designed entirely by NEBE’s in-house technical team, the new technology is expected to reduce administrative costs, save time, and streamline the overall election process.</w:t>
      </w:r>
      <w:r>
        <w:rPr>
          <w:rFonts w:hint="default"/>
          <w:szCs w:val="24"/>
          <w:lang w:val="en-GB"/>
        </w:rPr>
        <w:t xml:space="preserve"> </w:t>
      </w:r>
      <w:r>
        <w:rPr>
          <w:rFonts w:hint="default"/>
          <w:szCs w:val="24"/>
        </w:rPr>
        <w:t>Senay Amdework, NEBE’s Technical Team Manager, stated that the digital platforms meet international standards and will allow voters and candidates to register remotely, significantly minimizing logistical challenges.</w:t>
      </w:r>
      <w:r>
        <w:rPr>
          <w:rFonts w:hint="default"/>
          <w:szCs w:val="24"/>
          <w:lang w:val="en-GB"/>
        </w:rPr>
        <w:t xml:space="preserve"> </w:t>
      </w:r>
      <w:r>
        <w:rPr>
          <w:rFonts w:hint="default"/>
          <w:szCs w:val="24"/>
        </w:rPr>
        <w:t>Political party leaders welcomed the initiative, praising its potential to enhance transparency and accountability in the electoral process.</w:t>
      </w:r>
      <w:r>
        <w:rPr>
          <w:rFonts w:hint="default"/>
          <w:szCs w:val="24"/>
          <w:lang w:val="en-GB"/>
        </w:rPr>
        <w:t xml:space="preserve"> </w:t>
      </w:r>
      <w:r>
        <w:rPr>
          <w:rFonts w:hint="default"/>
          <w:szCs w:val="24"/>
        </w:rPr>
        <w:t>Mebratu Alemu, Executive Director of the Boro Democratic Party and a member of the House of Peoples’ Representatives, lauded the applications for simplifying candidate registration and fostering a more open electoral environment.</w:t>
      </w:r>
      <w:r>
        <w:rPr>
          <w:rFonts w:hint="default"/>
          <w:szCs w:val="24"/>
          <w:lang w:val="en-GB"/>
        </w:rPr>
        <w:t xml:space="preserve"> </w:t>
      </w:r>
      <w:r>
        <w:rPr>
          <w:rFonts w:hint="default"/>
          <w:szCs w:val="24"/>
        </w:rPr>
        <w:t>Tesfamariam Gucha, Chairman of the All Sidama People’s Democratic Unity Party, commended the cost and time-saving benefits of the new system, particularly its capacity to facilitate remote registration.</w:t>
      </w:r>
      <w:r>
        <w:rPr>
          <w:rFonts w:hint="default"/>
          <w:szCs w:val="24"/>
          <w:lang w:val="en-GB"/>
        </w:rPr>
        <w:t xml:space="preserve"> </w:t>
      </w:r>
      <w:r>
        <w:rPr>
          <w:rFonts w:hint="default"/>
          <w:szCs w:val="24"/>
        </w:rPr>
        <w:t>Netsanet Tasew, President of the Wollo People’s Democratic Party, echoed these sentiments, describing NEBE’s modernization efforts as a commendable stride toward democratic progress.</w:t>
      </w:r>
    </w:p>
    <w:p w14:paraId="3BD9637F">
      <w:pPr>
        <w:numPr>
          <w:ilvl w:val="0"/>
          <w:numId w:val="1"/>
        </w:numPr>
        <w:spacing w:line="276" w:lineRule="auto"/>
        <w:ind w:left="420" w:leftChars="0" w:hanging="420" w:firstLineChars="0"/>
        <w:rPr>
          <w:rFonts w:hint="default"/>
          <w:szCs w:val="24"/>
        </w:rPr>
      </w:pPr>
      <w:bookmarkStart w:id="2" w:name="_Toc26808"/>
      <w:r>
        <w:rPr>
          <w:rStyle w:val="15"/>
          <w:rFonts w:hint="default"/>
        </w:rPr>
        <w:t>Deputy PM stresses national alignment and measurable gains in SDG pursuit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"https://www.fanamc.com/english/deputy-pm-stresses-national-alignment-and-measurable-gains-in-sdg-pursuit/"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C218F0B">
      <w:pPr>
        <w:numPr>
          <w:numId w:val="0"/>
        </w:numPr>
        <w:spacing w:line="276" w:lineRule="auto"/>
        <w:ind w:leftChars="0"/>
        <w:rPr>
          <w:rFonts w:hint="default"/>
          <w:szCs w:val="24"/>
        </w:rPr>
      </w:pPr>
      <w:r>
        <w:rPr>
          <w:rFonts w:hint="default"/>
          <w:szCs w:val="24"/>
        </w:rPr>
        <w:t>Deputy Prime Minister Temesgen Tiruneh has reaffirmed Ethiopia’s unwavering commitment to the implementation of the Sustainable Development Goals (SDGs), highlighting the country’s integrated development approach during a high-level consultation forum held in Addis Ababa.</w:t>
      </w:r>
      <w:r>
        <w:rPr>
          <w:rFonts w:hint="default"/>
          <w:szCs w:val="24"/>
          <w:lang w:val="en-GB"/>
        </w:rPr>
        <w:t xml:space="preserve"> </w:t>
      </w:r>
      <w:r>
        <w:rPr>
          <w:rFonts w:hint="default"/>
          <w:szCs w:val="24"/>
        </w:rPr>
        <w:t>The forum, organized by the Ministry of Planning and Development, brought together senior government officials, parliamentarians, regional leaders, and stakeholders to review the draft of Ethiopia’s Third Voluntary National Review (VNR) 2025 report.</w:t>
      </w:r>
      <w:r>
        <w:rPr>
          <w:rFonts w:hint="default"/>
          <w:szCs w:val="24"/>
          <w:lang w:val="en-GB"/>
        </w:rPr>
        <w:t xml:space="preserve"> </w:t>
      </w:r>
      <w:r>
        <w:rPr>
          <w:rFonts w:hint="default"/>
          <w:szCs w:val="24"/>
        </w:rPr>
        <w:t>In his keynote address, Deputy Prime Minister Temesgen stated that Ethiopia continues to pursue the 2030 Agenda for Sustainable Development with determination, implementing a wide range of initiatives that can serve as examples for other nations.</w:t>
      </w:r>
      <w:r>
        <w:rPr>
          <w:rFonts w:hint="default"/>
          <w:szCs w:val="24"/>
          <w:lang w:val="en-GB"/>
        </w:rPr>
        <w:t xml:space="preserve"> </w:t>
      </w:r>
      <w:r>
        <w:rPr>
          <w:rFonts w:hint="default"/>
          <w:szCs w:val="24"/>
        </w:rPr>
        <w:t>“We are fully committed to taking ownership of this agenda, contextualizing it to reflect our national priorities and unique development landscape,” he said. “Our efforts are aligned with key national strategies, including the 10-Year Development Plan, Home-Grown Economic Reform 2.0, and the Three-Year Development and Investment Plan.”</w:t>
      </w:r>
      <w:r>
        <w:rPr>
          <w:rFonts w:hint="default"/>
          <w:szCs w:val="24"/>
          <w:lang w:val="en-GB"/>
        </w:rPr>
        <w:t xml:space="preserve"> </w:t>
      </w:r>
      <w:r>
        <w:rPr>
          <w:rFonts w:hint="default"/>
          <w:szCs w:val="24"/>
        </w:rPr>
        <w:t>He noted that this harmonized and integrated approach is yielding measurable progress in economic growth, social development, and environmental sustainability, which are documented in the draft VNR 2025 report.</w:t>
      </w:r>
      <w:r>
        <w:rPr>
          <w:rFonts w:hint="default"/>
          <w:szCs w:val="24"/>
          <w:lang w:val="en-GB"/>
        </w:rPr>
        <w:t xml:space="preserve"> </w:t>
      </w:r>
      <w:r>
        <w:rPr>
          <w:rFonts w:hint="default"/>
          <w:szCs w:val="24"/>
        </w:rPr>
        <w:t>Deputy Prime Minister Temesgen described the third VNR as a transparent account of Ethiopia’s development trajectory, reflecting the country’s achievements and lessons learned.</w:t>
      </w:r>
      <w:r>
        <w:rPr>
          <w:rFonts w:hint="default"/>
          <w:szCs w:val="24"/>
          <w:lang w:val="en-GB"/>
        </w:rPr>
        <w:t xml:space="preserve"> </w:t>
      </w:r>
      <w:r>
        <w:rPr>
          <w:rFonts w:hint="default"/>
          <w:szCs w:val="24"/>
        </w:rPr>
        <w:t>He emphasized the need to strengthen community-based fundraising and ensure that the report continues to be guided by scientific and evidence-based assessments.</w:t>
      </w:r>
      <w:r>
        <w:rPr>
          <w:rFonts w:hint="default"/>
          <w:szCs w:val="24"/>
          <w:lang w:val="en-GB"/>
        </w:rPr>
        <w:t xml:space="preserve"> </w:t>
      </w:r>
      <w:r>
        <w:rPr>
          <w:rFonts w:hint="default"/>
          <w:szCs w:val="24"/>
        </w:rPr>
        <w:t>“The third national voluntary review, conducted by an independent body, shows that we have made encouraging progress as a country,” he said. “It also offers valuable lessons as we strive toward our future goals.”</w:t>
      </w:r>
      <w:r>
        <w:rPr>
          <w:rFonts w:hint="default"/>
          <w:szCs w:val="24"/>
          <w:lang w:val="en-GB"/>
        </w:rPr>
        <w:t xml:space="preserve"> </w:t>
      </w:r>
      <w:r>
        <w:rPr>
          <w:rFonts w:hint="default"/>
          <w:szCs w:val="24"/>
        </w:rPr>
        <w:t>The consultation forum featured a presentation of the draft VNR report, followed by an in-depth discussion and feedback session.</w:t>
      </w:r>
      <w:r>
        <w:rPr>
          <w:rFonts w:hint="default"/>
          <w:szCs w:val="24"/>
          <w:lang w:val="en-GB"/>
        </w:rPr>
        <w:t xml:space="preserve"> </w:t>
      </w:r>
      <w:r>
        <w:rPr>
          <w:rFonts w:hint="default"/>
          <w:szCs w:val="24"/>
        </w:rPr>
        <w:t>The process reaffirmed Ethiopia’s commitment to inclusive, transparent, and accountable reporting on its development progress.</w:t>
      </w:r>
    </w:p>
    <w:p w14:paraId="0AF3DEAB">
      <w:pPr>
        <w:numPr>
          <w:ilvl w:val="0"/>
          <w:numId w:val="1"/>
        </w:numPr>
        <w:spacing w:line="276" w:lineRule="auto"/>
        <w:ind w:left="420" w:leftChars="0" w:hanging="420" w:firstLineChars="0"/>
        <w:rPr>
          <w:rFonts w:hint="default"/>
          <w:szCs w:val="24"/>
        </w:rPr>
      </w:pPr>
      <w:bookmarkStart w:id="3" w:name="_Toc23842"/>
      <w:r>
        <w:rPr>
          <w:rStyle w:val="15"/>
          <w:rFonts w:hint="default"/>
        </w:rPr>
        <w:t>GSTS, civic groups accuse OCHA of “misrepresentation” of Western Tigray, warn it “legitimizes displacement” and threatens territorial integrity</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"https://addisstandard.com/gsts-civic-groups-accuse-ocha-of-misrepresentation-of-western-tigray-warn-it-legitimizes-displacement-and-threatens-territorial-integrity/"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68C902A">
      <w:pPr>
        <w:numPr>
          <w:numId w:val="0"/>
        </w:numPr>
        <w:spacing w:line="276" w:lineRule="auto"/>
        <w:ind w:leftChars="0"/>
        <w:rPr>
          <w:rFonts w:hint="default"/>
          <w:szCs w:val="24"/>
        </w:rPr>
      </w:pPr>
      <w:r>
        <w:rPr>
          <w:rFonts w:hint="default"/>
          <w:szCs w:val="24"/>
        </w:rPr>
        <w:t>The Global Society of Tigray Scholars and Professionals (GSTS), along with 15 civic and research organizations, has accused the United Nations Office for the Coordination of Humanitarian Affairs (OCHA) of “persistent misrepresentation and artificial designations” of Western Tigray, warning that such framing “provides tacit legitimacy” to ongoing displacement and risks “undermining Tigray’s territorial integrity.”</w:t>
      </w:r>
      <w:r>
        <w:rPr>
          <w:rFonts w:hint="default"/>
          <w:szCs w:val="24"/>
          <w:lang w:val="en-GB"/>
        </w:rPr>
        <w:t xml:space="preserve"> </w:t>
      </w:r>
      <w:r>
        <w:rPr>
          <w:rFonts w:hint="default"/>
          <w:szCs w:val="24"/>
        </w:rPr>
        <w:t>In a joint letter dated 10 June, the signatories said they “strongly condemn OCHA’s continued misrepresentation,” referring to the agency’s reports—including those issued on 29 April 2022 and 3 June 2025—which, they noted, either incorporate Western Tigray into the Amhara region or describe it as a “contested area.” The letter claimed that such descriptions constitute “a perilous attempt to erase Tigray’s historical identity and territorial integrity.”</w:t>
      </w:r>
      <w:r>
        <w:rPr>
          <w:rFonts w:hint="default"/>
          <w:szCs w:val="24"/>
          <w:lang w:val="en-GB"/>
        </w:rPr>
        <w:t xml:space="preserve"> </w:t>
      </w:r>
      <w:r>
        <w:rPr>
          <w:rFonts w:hint="default"/>
          <w:szCs w:val="24"/>
        </w:rPr>
        <w:t>The signatories stated that despite “multiple appeals,” OCHA has “persisted in producing reports, maps, and public statements” that employ “misleading geographic descriptors.”</w:t>
      </w:r>
      <w:r>
        <w:rPr>
          <w:rFonts w:hint="default"/>
          <w:szCs w:val="24"/>
          <w:lang w:val="en-GB"/>
        </w:rPr>
        <w:t xml:space="preserve"> </w:t>
      </w:r>
      <w:r>
        <w:rPr>
          <w:rFonts w:hint="default"/>
          <w:szCs w:val="24"/>
        </w:rPr>
        <w:t>Western Tigray, which remains under the control of forces affiliated with the Amhara regional and federal governments, is an area where some of the most devastating atrocities were committed during the two-year war in Tigray. These crimes prompted the U.S. State Department to designate them as “crimes against humanity,” including forcible transfer of civilians and ethnic cleansing.</w:t>
      </w:r>
      <w:r>
        <w:rPr>
          <w:rFonts w:hint="default"/>
          <w:szCs w:val="24"/>
          <w:lang w:val="en-GB"/>
        </w:rPr>
        <w:t xml:space="preserve"> </w:t>
      </w:r>
      <w:r>
        <w:rPr>
          <w:rFonts w:hint="default"/>
          <w:szCs w:val="24"/>
        </w:rPr>
        <w:t>Despite the signing of the Pretoria peace agreement, Human Rights Watch (HRW) and several media reports—including by Addis Standard—have documented continued ethnic cleansing, human rights abuses, and the forcible expulsion of Tigrayans from the area.</w:t>
      </w:r>
      <w:r>
        <w:rPr>
          <w:rFonts w:hint="default"/>
          <w:szCs w:val="24"/>
          <w:lang w:val="en-GB"/>
        </w:rPr>
        <w:t xml:space="preserve"> </w:t>
      </w:r>
      <w:r>
        <w:rPr>
          <w:rFonts w:hint="default"/>
          <w:szCs w:val="24"/>
        </w:rPr>
        <w:t>In the statement, GSTS and the co-signatory organizations alleged that OCHA’s reporting has “effectively legitimized” the ongoing displacement of more than 1.5 million people and “obscured the scale of gross human rights violations,” including “mass killings, conflict-related sexual violence, slavery,” and “the destruction of Tigrayan identity and heritage.” They further argued that OCHA’s language “contradicts its anticipated institutional neutrality and credibility in the eyes of the victims.”</w:t>
      </w:r>
      <w:r>
        <w:rPr>
          <w:rFonts w:hint="default"/>
          <w:szCs w:val="24"/>
          <w:lang w:val="en-GB"/>
        </w:rPr>
        <w:t xml:space="preserve"> </w:t>
      </w:r>
      <w:r>
        <w:rPr>
          <w:rFonts w:hint="default"/>
          <w:szCs w:val="24"/>
        </w:rPr>
        <w:t>They also contended that the agency’s framing contradicts Ethiopia’s constitutional provisions—specifically Articles 46 and 47—which define regional boundaries and the rights of Nations, Nationalities, and Peoples.</w:t>
      </w:r>
      <w:r>
        <w:rPr>
          <w:rFonts w:hint="default"/>
          <w:szCs w:val="24"/>
          <w:lang w:val="en-GB"/>
        </w:rPr>
        <w:t xml:space="preserve"> </w:t>
      </w:r>
      <w:r>
        <w:rPr>
          <w:rFonts w:hint="default"/>
          <w:szCs w:val="24"/>
        </w:rPr>
        <w:t>The statement warned that “such meddling in internal affairs” not only violates OCHA’s mandate but also “sets a dangerous precedent” that could “embolden invading forces to pursue illegal annexation” and lead to “further violence and instability” in Ethiopia and the broader Horn of Africa.</w:t>
      </w:r>
      <w:r>
        <w:rPr>
          <w:rFonts w:hint="default"/>
          <w:szCs w:val="24"/>
          <w:lang w:val="en-GB"/>
        </w:rPr>
        <w:t xml:space="preserve"> </w:t>
      </w:r>
      <w:r>
        <w:rPr>
          <w:rFonts w:hint="default"/>
          <w:szCs w:val="24"/>
        </w:rPr>
        <w:t>“We vehemently lodge our protest,” the letter read, adding that OCHA’s actions “overshadow its commendable work” in humanitarian response and “erode its credibility” among those affected by war and displacement.</w:t>
      </w:r>
      <w:r>
        <w:rPr>
          <w:rFonts w:hint="default"/>
          <w:szCs w:val="24"/>
          <w:lang w:val="en-GB"/>
        </w:rPr>
        <w:t xml:space="preserve"> </w:t>
      </w:r>
      <w:r>
        <w:rPr>
          <w:rFonts w:hint="default"/>
          <w:szCs w:val="24"/>
        </w:rPr>
        <w:t>The statement by GSTS and its partners comes days after a similar position was expressed by Salsay Weyane Tigray (SaWaT), an opposition party in Tigray, condemning what it described as a “misleading and unlawful map” in a recent publication by the United Nations Office for the Coordination of Humanitarian Affairs (UNOCHA) that depicts Western Tigray as part of the Amhara region.</w:t>
      </w:r>
      <w:r>
        <w:rPr>
          <w:rFonts w:hint="default"/>
          <w:szCs w:val="24"/>
          <w:lang w:val="en-GB"/>
        </w:rPr>
        <w:t xml:space="preserve"> </w:t>
      </w:r>
      <w:r>
        <w:rPr>
          <w:rFonts w:hint="default"/>
          <w:szCs w:val="24"/>
        </w:rPr>
        <w:t>The party said the move “severely undermines ongoing efforts toward peace, justice, and constitutional stability in Ethiopia,” and added that “Western Tigray has been the subject of forceful occupation and ethnic cleansing since the outbreak of the genocidal war in November 2020.” It further stated that “no legal or democratic process has ever altered or redefined this established constitutional status.”</w:t>
      </w:r>
      <w:r>
        <w:rPr>
          <w:rFonts w:hint="default"/>
          <w:szCs w:val="24"/>
          <w:lang w:val="en-GB"/>
        </w:rPr>
        <w:t xml:space="preserve"> </w:t>
      </w:r>
      <w:r>
        <w:rPr>
          <w:rFonts w:hint="default"/>
          <w:szCs w:val="24"/>
        </w:rPr>
        <w:t xml:space="preserve">Salsay Weyane also accused OCHA of “effectively legitimizing territorial aggression,” and said the map “appears to be endorsing the ethnic cleansing and demographic change that has occurred in the region.” The party added that such actions “fundamentally violate UN impartiality standards” and “risk critically damaging the credibility and effectiveness of humanitarian operations in Tigray.” </w:t>
      </w:r>
    </w:p>
    <w:p w14:paraId="15268F53">
      <w:pPr>
        <w:numPr>
          <w:ilvl w:val="0"/>
          <w:numId w:val="1"/>
        </w:numPr>
        <w:spacing w:line="276" w:lineRule="auto"/>
        <w:ind w:left="420" w:leftChars="0" w:hanging="420" w:firstLineChars="0"/>
        <w:rPr>
          <w:rFonts w:hint="default"/>
          <w:szCs w:val="24"/>
        </w:rPr>
      </w:pPr>
      <w:bookmarkStart w:id="4" w:name="_Toc21635"/>
      <w:r>
        <w:rPr>
          <w:rStyle w:val="15"/>
          <w:rFonts w:hint="default"/>
        </w:rPr>
        <w:t>President Taye reaffirms Ethiopia’s keenness to bolster ties with Armenia</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"https://www.fanamc.com/english/president-taye-reaffirms-ethiopias-keenness-to-bolster-ties-with-armenia/"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162A5F8">
      <w:pPr>
        <w:numPr>
          <w:numId w:val="0"/>
        </w:numPr>
        <w:spacing w:line="276" w:lineRule="auto"/>
        <w:ind w:leftChars="0"/>
        <w:rPr>
          <w:rFonts w:hint="default"/>
          <w:szCs w:val="24"/>
        </w:rPr>
      </w:pPr>
      <w:r>
        <w:rPr>
          <w:rFonts w:hint="default"/>
          <w:szCs w:val="24"/>
        </w:rPr>
        <w:t>Ethiopia and Armenia are bound by the profound historical connection and this shared relationship is a strong foundation for future cooperation, President Taye Atske Selassie noted.</w:t>
      </w:r>
      <w:r>
        <w:rPr>
          <w:rFonts w:hint="default"/>
          <w:szCs w:val="24"/>
          <w:lang w:val="en-GB"/>
        </w:rPr>
        <w:t xml:space="preserve"> </w:t>
      </w:r>
      <w:r>
        <w:rPr>
          <w:rFonts w:hint="default"/>
          <w:szCs w:val="24"/>
        </w:rPr>
        <w:t>President Taye today received and held discussion with Armenia’s Deputy Minister of Foreign Affairs, Vahan Kostanyan at his office.</w:t>
      </w:r>
      <w:r>
        <w:rPr>
          <w:rFonts w:hint="default"/>
          <w:szCs w:val="24"/>
          <w:lang w:val="en-GB"/>
        </w:rPr>
        <w:t xml:space="preserve"> </w:t>
      </w:r>
      <w:r>
        <w:rPr>
          <w:rFonts w:hint="default"/>
          <w:szCs w:val="24"/>
        </w:rPr>
        <w:t>The Deputy Minister of Foreign Affairs conveyed a message to President Taye from the Armenian President Vahagn Khachaturyan to visit Armenia.</w:t>
      </w:r>
      <w:r>
        <w:rPr>
          <w:rFonts w:hint="default"/>
          <w:szCs w:val="24"/>
          <w:lang w:val="en-GB"/>
        </w:rPr>
        <w:t xml:space="preserve"> </w:t>
      </w:r>
      <w:r>
        <w:rPr>
          <w:rFonts w:hint="default"/>
          <w:szCs w:val="24"/>
        </w:rPr>
        <w:t>The president told the deputy foreign affairs minister to actively encourage Armenian investors and business leaders to consider Ethiopia as a prime destination for investment, highlighting the potentials for economic collaboration.</w:t>
      </w:r>
      <w:r>
        <w:rPr>
          <w:rFonts w:hint="default"/>
          <w:szCs w:val="24"/>
          <w:lang w:val="en-GB"/>
        </w:rPr>
        <w:t xml:space="preserve"> </w:t>
      </w:r>
      <w:r>
        <w:rPr>
          <w:rFonts w:hint="default"/>
          <w:szCs w:val="24"/>
        </w:rPr>
        <w:t>Deputy Foreign Minister Kostanyan, on his part, reiterated Armenia’s keen interest in deepening the bilateral relationship, including in cultural domain.</w:t>
      </w:r>
      <w:r>
        <w:rPr>
          <w:rFonts w:hint="default"/>
          <w:szCs w:val="24"/>
          <w:lang w:val="en-GB"/>
        </w:rPr>
        <w:t xml:space="preserve"> </w:t>
      </w:r>
      <w:r>
        <w:rPr>
          <w:rFonts w:hint="default"/>
          <w:szCs w:val="24"/>
        </w:rPr>
        <w:t>This emphasis on cultural exchange suggests a mutual desire to foster understanding and goodwill between the peoples of both countries beyond just economic and political ties.</w:t>
      </w:r>
      <w:r>
        <w:rPr>
          <w:rFonts w:hint="default"/>
          <w:szCs w:val="24"/>
          <w:lang w:val="en-GB"/>
        </w:rPr>
        <w:t xml:space="preserve"> </w:t>
      </w:r>
      <w:r>
        <w:rPr>
          <w:rFonts w:hint="default"/>
          <w:szCs w:val="24"/>
        </w:rPr>
        <w:t>It is noted that the discussion has served as a platform to explore avenues for strengthening the bilateral relationship between the two nations.</w:t>
      </w:r>
      <w:r>
        <w:rPr>
          <w:rFonts w:hint="default"/>
          <w:szCs w:val="24"/>
          <w:lang w:val="en-GB"/>
        </w:rPr>
        <w:t xml:space="preserve"> </w:t>
      </w:r>
      <w:r>
        <w:rPr>
          <w:rFonts w:hint="default"/>
          <w:szCs w:val="24"/>
        </w:rPr>
        <w:t>Armenia’s first embassy in Sub-Saharan Africa is located in Addis Ababa, underscoring the importance of their relationship, it was learnt.</w:t>
      </w:r>
      <w:r>
        <w:rPr>
          <w:rFonts w:hint="default"/>
          <w:szCs w:val="24"/>
          <w:lang w:val="en-GB"/>
        </w:rPr>
        <w:t xml:space="preserve"> </w:t>
      </w:r>
      <w:r>
        <w:rPr>
          <w:rFonts w:hint="default"/>
          <w:szCs w:val="24"/>
        </w:rPr>
        <w:t>This strategic move signifies the importance it places on its relationship with Ethiopia and the broader African continent, recognizing Addis Ababa as a diplomatic hub.</w:t>
      </w:r>
      <w:r>
        <w:rPr>
          <w:rFonts w:hint="default"/>
          <w:szCs w:val="24"/>
          <w:lang w:val="en-GB"/>
        </w:rPr>
        <w:t xml:space="preserve"> </w:t>
      </w:r>
      <w:r>
        <w:rPr>
          <w:rFonts w:hint="default"/>
          <w:szCs w:val="24"/>
        </w:rPr>
        <w:t>This exchange of high-level visits and the discussions reflect a concerted effort by both Ethiopia and Armenia to leverage their historical bonds and explore new avenues for mutual benefit across various sectors, including trade, investment, and cultural exchange.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4021"/>
      <w:r>
        <w:rPr>
          <w:rFonts w:eastAsia="DengXian Light" w:cs="Times New Roman"/>
          <w:b/>
          <w:bCs/>
          <w:color w:val="2F5496"/>
          <w:szCs w:val="24"/>
          <w:u w:val="single"/>
        </w:rPr>
        <w:t>Horn of Africa</w:t>
      </w:r>
      <w:bookmarkEnd w:id="5"/>
    </w:p>
    <w:p w14:paraId="2226F01F">
      <w:pPr>
        <w:pStyle w:val="3"/>
      </w:pPr>
      <w:bookmarkStart w:id="6" w:name="_Toc23693"/>
      <w:r>
        <w:t>Somalia</w:t>
      </w:r>
      <w:bookmarkEnd w:id="6"/>
    </w:p>
    <w:p w14:paraId="00242305">
      <w:pPr>
        <w:numPr>
          <w:ilvl w:val="0"/>
          <w:numId w:val="1"/>
        </w:numPr>
        <w:ind w:left="420" w:leftChars="0" w:hanging="420" w:firstLineChars="0"/>
        <w:rPr>
          <w:rFonts w:hint="default"/>
          <w:szCs w:val="24"/>
        </w:rPr>
      </w:pPr>
      <w:bookmarkStart w:id="7" w:name="_Toc4969"/>
      <w:r>
        <w:rPr>
          <w:rStyle w:val="15"/>
          <w:rFonts w:hint="default"/>
        </w:rPr>
        <w:t>Somali Foreign Minister meets Kenya’s Prime Cabinet Secretary on sidelines of FOCAC summit</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"https://www.hiiraan.com/news4/2025/Jun/201812/somali_foreign_minister_meets_kenya_s_prime_cabinet_secretary_on_sidelines_of_focac_summit.aspx?utm_source=hiiraan&amp;utm_medium=SomaliNewsUpdateFront"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666B02AF">
      <w:pPr>
        <w:rPr>
          <w:szCs w:val="24"/>
        </w:rPr>
      </w:pPr>
      <w:r>
        <w:rPr>
          <w:rFonts w:hint="default"/>
          <w:szCs w:val="24"/>
        </w:rPr>
        <w:t>Somalia’s Minister of Foreign Affairs and International Cooperation, Abdisalan Abdi Ali Dhaay, met with Kenya’s Prime Cabinet Secretary and Cabinet Secretary for Foreign and Diaspora Affairs, Musalia W. Mudavadi, on the sidelines of the Forum on China-Africa Cooperation (FOCAC) Ministers’ Summit.</w:t>
      </w:r>
      <w:r>
        <w:rPr>
          <w:rFonts w:hint="default"/>
          <w:szCs w:val="24"/>
          <w:lang w:val="en-GB"/>
        </w:rPr>
        <w:t xml:space="preserve"> </w:t>
      </w:r>
      <w:r>
        <w:rPr>
          <w:rFonts w:hint="default"/>
          <w:szCs w:val="24"/>
        </w:rPr>
        <w:t>The two leaders discussed strategies to deepen the longstanding cultural, social, and economic ties between Somalia and Kenya, with a shared commitment to promoting regional peace, stability, and development.</w:t>
      </w:r>
      <w:r>
        <w:rPr>
          <w:rFonts w:hint="default"/>
          <w:szCs w:val="24"/>
          <w:lang w:val="en-GB"/>
        </w:rPr>
        <w:t xml:space="preserve"> </w:t>
      </w:r>
      <w:r>
        <w:rPr>
          <w:rFonts w:hint="default"/>
          <w:szCs w:val="24"/>
        </w:rPr>
        <w:t>Both ministers agreed to expedite the convening of the Joint Cooperation Committee (JCC) to finalize key Memoranda of Understanding (MoUs) in multiple sectors, including trade, security, education, and infrastructure.</w:t>
      </w:r>
      <w:r>
        <w:rPr>
          <w:rFonts w:hint="default"/>
          <w:szCs w:val="24"/>
          <w:lang w:val="en-GB"/>
        </w:rPr>
        <w:t xml:space="preserve"> </w:t>
      </w:r>
      <w:r>
        <w:rPr>
          <w:rFonts w:hint="default"/>
          <w:szCs w:val="24"/>
        </w:rPr>
        <w:t>Minister Ali expressed gratitude for Kenya’s support over the past 25 years, particularly through its contributions to peacekeeping efforts under the African Union Transition Mission in Somalia (ATMIS).</w:t>
      </w:r>
      <w:r>
        <w:rPr>
          <w:rFonts w:hint="default"/>
          <w:szCs w:val="24"/>
          <w:lang w:val="en-GB"/>
        </w:rPr>
        <w:t xml:space="preserve"> </w:t>
      </w:r>
      <w:r>
        <w:rPr>
          <w:rFonts w:hint="default"/>
          <w:szCs w:val="24"/>
        </w:rPr>
        <w:t>Mudavadi reaffirmed Kenya’s commitment to strong neighborly relations and emphasized Nairobi’s readiness to expand bilateral cooperation in areas of mutual interest.</w:t>
      </w:r>
      <w:r>
        <w:rPr>
          <w:rFonts w:hint="default"/>
          <w:szCs w:val="24"/>
          <w:lang w:val="en-GB"/>
        </w:rPr>
        <w:t xml:space="preserve"> </w:t>
      </w:r>
      <w:r>
        <w:rPr>
          <w:rFonts w:hint="default"/>
          <w:szCs w:val="24"/>
        </w:rPr>
        <w:t>The meeting was also attended by Somalia’s Ambassador to China, Hodan Osman Abdi, and Kenya’s Ambassador to China, Willy Bett.</w:t>
      </w:r>
    </w:p>
    <w:p w14:paraId="287E5054">
      <w:r>
        <w:rPr>
          <w:szCs w:val="24"/>
        </w:rPr>
        <w:t>________________________________________________________________________</w:t>
      </w:r>
    </w:p>
    <w:p w14:paraId="10DC5F8A">
      <w:pPr>
        <w:pStyle w:val="3"/>
        <w:spacing w:line="276" w:lineRule="auto"/>
        <w:rPr>
          <w:szCs w:val="24"/>
        </w:rPr>
      </w:pPr>
      <w:bookmarkStart w:id="8" w:name="_Toc3223"/>
      <w:r>
        <w:rPr>
          <w:rFonts w:hint="default"/>
          <w:szCs w:val="24"/>
          <w:lang w:val="en-GB"/>
        </w:rPr>
        <w:t>Kenya</w:t>
      </w:r>
      <w:bookmarkEnd w:id="8"/>
      <w:r>
        <w:rPr>
          <w:szCs w:val="24"/>
        </w:rPr>
        <w:t xml:space="preserve"> </w:t>
      </w:r>
    </w:p>
    <w:p w14:paraId="05A78B89">
      <w:pPr>
        <w:numPr>
          <w:ilvl w:val="0"/>
          <w:numId w:val="1"/>
        </w:numPr>
        <w:spacing w:line="276" w:lineRule="auto"/>
        <w:ind w:left="420" w:leftChars="0" w:hanging="420" w:firstLineChars="0"/>
        <w:rPr>
          <w:rFonts w:hint="default"/>
        </w:rPr>
      </w:pPr>
      <w:bookmarkStart w:id="9" w:name="_Toc9721"/>
      <w:r>
        <w:rPr>
          <w:rStyle w:val="15"/>
          <w:rFonts w:hint="default"/>
        </w:rPr>
        <w:t>Kenyan security forces kill two Al Shabaab militants in Mandera</w:t>
      </w:r>
      <w:bookmarkEnd w:id="9"/>
      <w:r>
        <w:rPr>
          <w:rFonts w:hint="default"/>
          <w:lang w:val="en-GB"/>
        </w:rPr>
        <w:t xml:space="preserve"> -</w:t>
      </w:r>
      <w:r>
        <w:rPr>
          <w:rFonts w:hint="default"/>
          <w:lang w:val="en-GB"/>
        </w:rPr>
        <w:fldChar w:fldCharType="begin"/>
      </w:r>
      <w:r>
        <w:rPr>
          <w:rFonts w:hint="default"/>
          <w:lang w:val="en-GB"/>
        </w:rPr>
        <w:instrText xml:space="preserve"> HYPERLINK "https://www.hiiraan.com/news4/2025/Jun/201816/kenyan_security_forces_kill_two_al_shabaab_militants_in_mandera.aspx?utm_source=hiiraan&amp;utm_medium=SomaliNewsUpdateFront" </w:instrText>
      </w:r>
      <w:r>
        <w:rPr>
          <w:rFonts w:hint="default"/>
          <w:lang w:val="en-GB"/>
        </w:rPr>
        <w:fldChar w:fldCharType="separate"/>
      </w:r>
      <w:r>
        <w:rPr>
          <w:rStyle w:val="10"/>
          <w:rFonts w:hint="default"/>
          <w:lang w:val="en-GB"/>
        </w:rPr>
        <w:t xml:space="preserve"> Hiiraan</w:t>
      </w:r>
      <w:r>
        <w:rPr>
          <w:rFonts w:hint="default"/>
          <w:lang w:val="en-GB"/>
        </w:rPr>
        <w:fldChar w:fldCharType="end"/>
      </w:r>
    </w:p>
    <w:p w14:paraId="071AD9AB">
      <w:pPr>
        <w:spacing w:line="276" w:lineRule="auto"/>
        <w:rPr>
          <w:rFonts w:hint="default"/>
        </w:rPr>
      </w:pPr>
      <w:r>
        <w:rPr>
          <w:rFonts w:hint="default"/>
        </w:rPr>
        <w:t>Security officers from the anti-terror police unit killed two terrorists during an ambush in Mandera on Monday.</w:t>
      </w:r>
      <w:r>
        <w:rPr>
          <w:rFonts w:hint="default"/>
          <w:lang w:val="en-GB"/>
        </w:rPr>
        <w:t xml:space="preserve"> </w:t>
      </w:r>
      <w:r>
        <w:rPr>
          <w:rFonts w:hint="default"/>
        </w:rPr>
        <w:t>According to the Counter Terrorism Policing, officers from the elite Special Operations Group (SOG), acting on intelligence, launched an operation in the wee hours of the night in Mandera and ambushed the terrorists as they were planning to launch an attack.</w:t>
      </w:r>
      <w:r>
        <w:rPr>
          <w:rFonts w:hint="default"/>
          <w:lang w:val="en-GB"/>
        </w:rPr>
        <w:t xml:space="preserve"> </w:t>
      </w:r>
      <w:r>
        <w:rPr>
          <w:rFonts w:hint="default"/>
        </w:rPr>
        <w:t>The militants from the Al Shabaab terror group were reportedly planning to terrorise Kenyans using the Alungu-Elwak road, Mandera County.</w:t>
      </w:r>
      <w:r>
        <w:rPr>
          <w:rFonts w:hint="default"/>
          <w:lang w:val="en-GB"/>
        </w:rPr>
        <w:t xml:space="preserve"> </w:t>
      </w:r>
      <w:r>
        <w:rPr>
          <w:rFonts w:hint="default"/>
        </w:rPr>
        <w:t>Further, the police report revealed that the insurgents were in the final stages of planting explosives on the main road, in a bid to target civilian vehicles.</w:t>
      </w:r>
      <w:r>
        <w:rPr>
          <w:rFonts w:hint="default"/>
          <w:lang w:val="en-GB"/>
        </w:rPr>
        <w:t xml:space="preserve"> </w:t>
      </w:r>
      <w:r>
        <w:rPr>
          <w:rFonts w:hint="default"/>
        </w:rPr>
        <w:t>During the incident, a fierce firefight ensued, during which two militants were felled as others sustained serious injuries before fleeing into nearby thickets with officers in hot pursuit.</w:t>
      </w:r>
      <w:r>
        <w:rPr>
          <w:rFonts w:hint="default"/>
          <w:lang w:val="en-GB"/>
        </w:rPr>
        <w:t xml:space="preserve"> </w:t>
      </w:r>
      <w:r>
        <w:rPr>
          <w:rFonts w:hint="default"/>
        </w:rPr>
        <w:t>''Acting on credible intelligence, the elite Special Operations Group launched a pre-dawn operation on Al Shabaab militants who were planning to terrorise Kenyans using the Alungu-Elwak road, Mandera County.</w:t>
      </w:r>
      <w:r>
        <w:rPr>
          <w:rFonts w:hint="default"/>
          <w:lang w:val="en-GB"/>
        </w:rPr>
        <w:t xml:space="preserve"> </w:t>
      </w:r>
      <w:r>
        <w:rPr>
          <w:rFonts w:hint="default"/>
        </w:rPr>
        <w:t>The terrorists were also in the final stages of placing explosives on the main road, targeting civilian vehicles,'' a police report confirmed.</w:t>
      </w:r>
      <w:r>
        <w:rPr>
          <w:rFonts w:hint="default"/>
          <w:lang w:val="en-GB"/>
        </w:rPr>
        <w:t xml:space="preserve"> </w:t>
      </w:r>
      <w:r>
        <w:rPr>
          <w:rFonts w:hint="default"/>
        </w:rPr>
        <w:t>"The terrorists were caught in the act of setting up the IED. A fierce firefight ensued, during which two militants were neutralised and others sustained serious injuries."</w:t>
      </w:r>
      <w:r>
        <w:rPr>
          <w:rFonts w:hint="default"/>
          <w:lang w:val="en-GB"/>
        </w:rPr>
        <w:t xml:space="preserve"> </w:t>
      </w:r>
      <w:r>
        <w:rPr>
          <w:rFonts w:hint="default"/>
        </w:rPr>
        <w:t>The elite unit managed to recover two AK-47 rifles, a Rocket-Propelled Grenade (RPG) warhead, and a fully assembled IED.</w:t>
      </w:r>
      <w:r>
        <w:rPr>
          <w:rFonts w:hint="default"/>
          <w:lang w:val="en-GB"/>
        </w:rPr>
        <w:t xml:space="preserve"> </w:t>
      </w:r>
      <w:r>
        <w:rPr>
          <w:rFonts w:hint="default"/>
        </w:rPr>
        <w:t>Preliminary assessments indicated that the operation managed to avert a potential large-scale attack on civilian traffic in the area. Meanwhile, authorities have reaffirmed their commitment to supporting Kenya's security forces through intensified operations and sustained efforts in the fight against terrorism.</w:t>
      </w:r>
      <w:r>
        <w:rPr>
          <w:rFonts w:hint="default"/>
          <w:lang w:val="en-GB"/>
        </w:rPr>
        <w:t xml:space="preserve"> </w:t>
      </w:r>
      <w:r>
        <w:rPr>
          <w:rFonts w:hint="default"/>
        </w:rPr>
        <w:t>In a related development, on the morning of May 8, the elite SOG neutralised an Al-Shabaab terrorist in Garissa while responding to the reports by locals of militants attempting to plant improved explosive devices (IEDs) along the Dadaab-Hagadera road, targeting civilians and security vehicles. During the exchange of fire, one militant was killed, and three others were injured. Security officers also managed to arrest one of the suspects.</w:t>
      </w:r>
      <w:r>
        <w:rPr>
          <w:rFonts w:hint="default"/>
          <w:lang w:val="en-GB"/>
        </w:rPr>
        <w:t xml:space="preserve"> </w:t>
      </w:r>
      <w:r>
        <w:rPr>
          <w:rFonts w:hint="default"/>
        </w:rPr>
        <w:t>The authorities recovered several weapons from the scene, including a PKM machine gun, an AK-47, a pistol, a comms radio, and an IED remote.</w:t>
      </w:r>
    </w:p>
    <w:p w14:paraId="3C245737">
      <w:pPr>
        <w:spacing w:line="276" w:lineRule="auto"/>
      </w:pPr>
      <w:r>
        <w:t>________________________________________________________________________</w:t>
      </w:r>
    </w:p>
    <w:p w14:paraId="59329CA4">
      <w:pPr>
        <w:pStyle w:val="3"/>
        <w:spacing w:line="276" w:lineRule="auto"/>
      </w:pPr>
      <w:bookmarkStart w:id="10" w:name="_Toc28804"/>
      <w:r>
        <w:t>Sudan</w:t>
      </w:r>
      <w:bookmarkEnd w:id="10"/>
    </w:p>
    <w:p w14:paraId="18FC2301">
      <w:pPr>
        <w:numPr>
          <w:ilvl w:val="0"/>
          <w:numId w:val="1"/>
        </w:numPr>
        <w:spacing w:line="276" w:lineRule="auto"/>
        <w:ind w:left="420" w:leftChars="0" w:hanging="420" w:firstLineChars="0"/>
        <w:rPr>
          <w:rFonts w:hint="default"/>
        </w:rPr>
      </w:pPr>
      <w:bookmarkStart w:id="11" w:name="_Toc7298"/>
      <w:r>
        <w:rPr>
          <w:rStyle w:val="15"/>
          <w:rFonts w:hint="default"/>
        </w:rPr>
        <w:t>UN warns of escalating Sudan violence, dire humanitarian needs</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"https://sudantribune.com/article301799/" </w:instrText>
      </w:r>
      <w:r>
        <w:rPr>
          <w:rFonts w:hint="default"/>
          <w:lang w:val="en-GB"/>
        </w:rPr>
        <w:fldChar w:fldCharType="separate"/>
      </w:r>
      <w:r>
        <w:rPr>
          <w:rStyle w:val="10"/>
          <w:rFonts w:hint="default"/>
          <w:lang w:val="en-GB"/>
        </w:rPr>
        <w:t>Sudan Tribune</w:t>
      </w:r>
      <w:r>
        <w:rPr>
          <w:rFonts w:hint="default"/>
          <w:lang w:val="en-GB"/>
        </w:rPr>
        <w:fldChar w:fldCharType="end"/>
      </w:r>
    </w:p>
    <w:p w14:paraId="7D3DEF41">
      <w:pPr>
        <w:spacing w:line="276" w:lineRule="auto"/>
        <w:rPr>
          <w:rFonts w:hint="default"/>
        </w:rPr>
      </w:pPr>
      <w:r>
        <w:rPr>
          <w:rFonts w:hint="default"/>
        </w:rPr>
        <w:t>The United Nations on Tuesday voiced alarm at intensifying violence in Sudan’s Kordofan region and a dire humanitarian situation nationwide, with aid operations hindered and a cholera outbreak threatening Khartoum.</w:t>
      </w:r>
      <w:r>
        <w:rPr>
          <w:rFonts w:hint="default"/>
          <w:lang w:val="en-GB"/>
        </w:rPr>
        <w:t xml:space="preserve"> </w:t>
      </w:r>
      <w:r>
        <w:rPr>
          <w:rFonts w:hint="default"/>
        </w:rPr>
        <w:t>The U.N. Office for the Coordination of Humanitarian Affairs (OCHA) said recent air strikes have reportedly hit residential areas in Al Obeid, North Kordofan, injuring civilians and hampering aid delivery.</w:t>
      </w:r>
      <w:r>
        <w:rPr>
          <w:rFonts w:hint="default"/>
          <w:lang w:val="en-GB"/>
        </w:rPr>
        <w:t xml:space="preserve"> </w:t>
      </w:r>
      <w:r>
        <w:rPr>
          <w:rFonts w:hint="default"/>
        </w:rPr>
        <w:t>“Conflict in the Kordofan region continues to hinder aid operations, leaving many people in need out of reach,” said Farhan Haq, a U.N. deputy spokesman. He added that ongoing battles have moved closer to critical routes used by herders to move livestock.</w:t>
      </w:r>
      <w:r>
        <w:rPr>
          <w:rFonts w:hint="default"/>
          <w:lang w:val="en-GB"/>
        </w:rPr>
        <w:t xml:space="preserve"> </w:t>
      </w:r>
      <w:r>
        <w:rPr>
          <w:rFonts w:hint="default"/>
        </w:rPr>
        <w:t>The humanitarian crisis remains acute in other parts of the country. In Northern state, U.N. partners reported the arrival of nearly 6,000 newly displaced people from North Darfur in late May, many of whom are elderly, wounded or sick and in urgent need of medical care, water and protection services.</w:t>
      </w:r>
      <w:r>
        <w:rPr>
          <w:rFonts w:hint="default"/>
          <w:lang w:val="en-GB"/>
        </w:rPr>
        <w:t xml:space="preserve"> </w:t>
      </w:r>
      <w:r>
        <w:rPr>
          <w:rFonts w:hint="default"/>
        </w:rPr>
        <w:t>In Khartoum state, health authorities recorded over 1,300 new cholera cases between May 26 and June 1. While this is a sharp decrease from 7,000 cases the previous week, the U.N. cautioned that underreporting might mask the outbreak’s true scale.</w:t>
      </w:r>
      <w:r>
        <w:rPr>
          <w:rFonts w:hint="default"/>
          <w:lang w:val="en-GB"/>
        </w:rPr>
        <w:t xml:space="preserve"> </w:t>
      </w:r>
      <w:r>
        <w:rPr>
          <w:rFonts w:hint="default"/>
        </w:rPr>
        <w:t>OCHA also reported a complex displacement pattern, with about 1.2 million people returning to their homes since December, primarily in Al Jazirah, Sennar and Khartoum states. However, basic services in these areas are severely limited, and the returnees require significant support.</w:t>
      </w:r>
      <w:r>
        <w:rPr>
          <w:rFonts w:hint="default"/>
          <w:lang w:val="en-GB"/>
        </w:rPr>
        <w:t xml:space="preserve"> </w:t>
      </w:r>
      <w:r>
        <w:rPr>
          <w:rFonts w:hint="default"/>
        </w:rPr>
        <w:t>“The U.N. once again calls for an immediate cessation of hostilities, protection of civilians, and unimpeded humanitarian access,” Haq said. “Greater national and international support is urgently required to scale up the response and meet rising needs across Sudan.”</w:t>
      </w:r>
    </w:p>
    <w:p w14:paraId="54E37B41">
      <w:pPr>
        <w:numPr>
          <w:ilvl w:val="0"/>
          <w:numId w:val="1"/>
        </w:numPr>
        <w:spacing w:line="276" w:lineRule="auto"/>
        <w:ind w:left="420" w:leftChars="0" w:hanging="420" w:firstLineChars="0"/>
        <w:rPr>
          <w:rFonts w:hint="default"/>
        </w:rPr>
      </w:pPr>
      <w:bookmarkStart w:id="12" w:name="_Toc18073"/>
      <w:r>
        <w:rPr>
          <w:rStyle w:val="15"/>
          <w:rFonts w:hint="default"/>
        </w:rPr>
        <w:t>Sudan army pulls back from border zone, cites threat from Libya</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"https://sudantribune.com/article301803/" </w:instrText>
      </w:r>
      <w:r>
        <w:rPr>
          <w:rFonts w:hint="default"/>
          <w:lang w:val="en-GB"/>
        </w:rPr>
        <w:fldChar w:fldCharType="separate"/>
      </w:r>
      <w:r>
        <w:rPr>
          <w:rStyle w:val="10"/>
          <w:rFonts w:hint="default"/>
          <w:lang w:val="en-GB"/>
        </w:rPr>
        <w:t>Sudan Tribune</w:t>
      </w:r>
      <w:r>
        <w:rPr>
          <w:rFonts w:hint="default"/>
          <w:lang w:val="en-GB"/>
        </w:rPr>
        <w:fldChar w:fldCharType="end"/>
      </w:r>
    </w:p>
    <w:p w14:paraId="29290B5B">
      <w:pPr>
        <w:spacing w:line="276" w:lineRule="auto"/>
        <w:rPr>
          <w:rFonts w:hint="default"/>
        </w:rPr>
      </w:pPr>
      <w:r>
        <w:rPr>
          <w:rFonts w:hint="default"/>
        </w:rPr>
        <w:t>Sudan’s army said on Wednesday it had evacuated a strategic border zone shared with Libya and Egypt, calling it a defensive move against potential incursions by militia forces loyal to Libyan commander Khalifa Haftar.</w:t>
      </w:r>
      <w:r>
        <w:rPr>
          <w:rFonts w:hint="default"/>
          <w:lang w:val="en-GB"/>
        </w:rPr>
        <w:t xml:space="preserve"> </w:t>
      </w:r>
      <w:r>
        <w:rPr>
          <w:rFonts w:hint="default"/>
        </w:rPr>
        <w:t>The move follows an accusation by the Sudanese army on Tuesday that Haftar’s forces, fighting alongside Sudan’s paramilitary Rapid Support Forces (RSF), had attacked its border posts.</w:t>
      </w:r>
      <w:r>
        <w:rPr>
          <w:rFonts w:hint="default"/>
          <w:lang w:val="en-GB"/>
        </w:rPr>
        <w:t xml:space="preserve"> </w:t>
      </w:r>
      <w:r>
        <w:rPr>
          <w:rFonts w:hint="default"/>
        </w:rPr>
        <w:t>A group loyal to Haftar denied the charge, calling it a “blatant attempt to export Sudan’s internal crisis and create a virtual external enemy” and said one of its own patrols had been attacked.</w:t>
      </w:r>
      <w:r>
        <w:rPr>
          <w:rFonts w:hint="default"/>
          <w:lang w:val="en-GB"/>
        </w:rPr>
        <w:t xml:space="preserve"> </w:t>
      </w:r>
      <w:r>
        <w:rPr>
          <w:rFonts w:hint="default"/>
        </w:rPr>
        <w:t>In a statement, a Sudanese army spokesman said the evacuation of the triangle area was part of “defensive arrangements to repel aggression.”</w:t>
      </w:r>
      <w:r>
        <w:rPr>
          <w:rFonts w:hint="default"/>
          <w:lang w:val="en-GB"/>
        </w:rPr>
        <w:t xml:space="preserve"> </w:t>
      </w:r>
      <w:r>
        <w:rPr>
          <w:rFonts w:hint="default"/>
        </w:rPr>
        <w:t>Tensions in the remote region flared on June 6, when a Libyan unit loyal to Haftar reportedly entered about 3 km (2 miles) into Sudanese territory near Mount Arkenu. A clash with an armed group allied with Sudan’s army left two Libyan soldiers dead and others captured, according to the initial report.</w:t>
      </w:r>
      <w:r>
        <w:rPr>
          <w:rFonts w:hint="default"/>
          <w:lang w:val="en-GB"/>
        </w:rPr>
        <w:t xml:space="preserve"> </w:t>
      </w:r>
      <w:r>
        <w:rPr>
          <w:rFonts w:hint="default"/>
        </w:rPr>
        <w:t>Haftar, whose forces control eastern Libya, has been accused of providing military support to the RSF in its war against the Sudanese army. The allegations, which Haftar denies, include allowing the RSF to use bases in Libya as logistical and training hubs.</w:t>
      </w:r>
    </w:p>
    <w:p w14:paraId="755BA6F9">
      <w:pPr>
        <w:numPr>
          <w:ilvl w:val="0"/>
          <w:numId w:val="1"/>
        </w:numPr>
        <w:spacing w:line="276" w:lineRule="auto"/>
        <w:ind w:left="420" w:leftChars="0" w:hanging="420" w:firstLineChars="0"/>
        <w:rPr>
          <w:rFonts w:hint="default"/>
        </w:rPr>
      </w:pPr>
      <w:bookmarkStart w:id="13" w:name="_Toc2897"/>
      <w:r>
        <w:rPr>
          <w:rStyle w:val="15"/>
          <w:rFonts w:hint="default"/>
        </w:rPr>
        <w:t>Sudan accuses Libyan force of border attack, blames UAE for ‘aggression’</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"https://sudantribune.com/article301781/"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66FDAB1A">
      <w:pPr>
        <w:spacing w:line="276" w:lineRule="auto"/>
        <w:rPr>
          <w:rFonts w:hint="default"/>
        </w:rPr>
      </w:pPr>
      <w:r>
        <w:rPr>
          <w:rFonts w:hint="default"/>
        </w:rPr>
        <w:t>Sudan’s government on Tuesday accused Libyan forces under eastern commander Khalifa Haftar of participating in a border attack alongside the paramilitary RSF, calling it a “flagrant aggression” sponsored by the United Arab Emirates (UAE).</w:t>
      </w:r>
      <w:r>
        <w:rPr>
          <w:rFonts w:hint="default"/>
          <w:lang w:val="en-GB"/>
        </w:rPr>
        <w:t xml:space="preserve"> </w:t>
      </w:r>
      <w:r>
        <w:rPr>
          <w:rFonts w:hint="default"/>
        </w:rPr>
        <w:t>In separate statements, both the army and the Foreign Ministry condemned the attack in the strategic tri-border area connecting Sudan, Libya, and Egypt. They affirmed Sudan’s right to defend its territory.</w:t>
      </w:r>
      <w:r>
        <w:rPr>
          <w:rFonts w:hint="default"/>
          <w:lang w:val="en-GB"/>
        </w:rPr>
        <w:t xml:space="preserve"> </w:t>
      </w:r>
      <w:r>
        <w:rPr>
          <w:rFonts w:hint="default"/>
        </w:rPr>
        <w:t>Sudan’s army stated in a press release that the Rapid Support Forces (RSF), “supported by Khalifa Haftar’s Libyan forces,” attacked its positions in the tri-border area connecting Sudan, Egypt, and Libya, aiming to seize the area. It called the direct intervention by the Libyan faction an “unprecedented” violation of international law and part of a broader “international and regional conspiracy”.</w:t>
      </w:r>
      <w:r>
        <w:rPr>
          <w:rFonts w:hint="default"/>
          <w:lang w:val="en-GB"/>
        </w:rPr>
        <w:t xml:space="preserve"> </w:t>
      </w:r>
      <w:r>
        <w:rPr>
          <w:rFonts w:hint="default"/>
        </w:rPr>
        <w:t>For its part, Sudan’s Foreign Ministry called the assault a “dangerous escalation” sponsored by “the Abu Dhabi regime” and a serious threat to regional security. It claimed that Sudan’s border with Libya has served as a “main crossing for weapons and mercenaries… with UAE funding and coordination from Haftar’s forces”.</w:t>
      </w:r>
      <w:r>
        <w:rPr>
          <w:rFonts w:hint="default"/>
          <w:lang w:val="en-GB"/>
        </w:rPr>
        <w:t xml:space="preserve"> </w:t>
      </w:r>
      <w:r>
        <w:rPr>
          <w:rFonts w:hint="default"/>
        </w:rPr>
        <w:t>The accusations follow a June 6 incident where members of Haftar’s “Subul al-Salam” battalion advanced three kilometres into Sudanese territory, according to the report. A pro-Sudanese army armed group clashed with them near Mount Arkenu, killing two Libyan fighters and capturing two others. A second attack by another group from Kufra, Libya, followed, causing losses on the Sudanese side.</w:t>
      </w:r>
      <w:r>
        <w:rPr>
          <w:rFonts w:hint="default"/>
          <w:lang w:val="en-GB"/>
        </w:rPr>
        <w:t xml:space="preserve"> </w:t>
      </w:r>
      <w:r>
        <w:rPr>
          <w:rFonts w:hint="default"/>
        </w:rPr>
        <w:t>The army spokesperson said the goal of the joint RSF-Haftar attack was to “seize the area”. In contrast, pro-RSF media platforms released videos purporting to show their forces overrunning a Sudanese army position in the area.</w:t>
      </w:r>
      <w:r>
        <w:rPr>
          <w:rFonts w:hint="default"/>
          <w:lang w:val="en-GB"/>
        </w:rPr>
        <w:t xml:space="preserve"> </w:t>
      </w:r>
      <w:r>
        <w:rPr>
          <w:rFonts w:hint="default"/>
        </w:rPr>
        <w:t>Sudan’s Foreign Ministry blamed what it called the “leniency of the Security Council and Western powers” for encouraging the UAE and its regional allies to become directly involved in the fighting. It called on the United Nations, African Union, and Arab League to condemn the aggression.</w:t>
      </w:r>
      <w:r>
        <w:rPr>
          <w:rFonts w:hint="default"/>
          <w:lang w:val="en-GB"/>
        </w:rPr>
        <w:t xml:space="preserve"> </w:t>
      </w:r>
      <w:r>
        <w:rPr>
          <w:rFonts w:hint="default"/>
        </w:rPr>
        <w:t>The border region has long been a flashpoint and a key supply route for the RSF. Sudan has accused Haftar of facilitating military aid funded by the UAE, including by hosting RSF forces at bases like Ma’tan al-Sarra.</w:t>
      </w:r>
      <w:r>
        <w:rPr>
          <w:rFonts w:hint="default"/>
          <w:lang w:val="en-GB"/>
        </w:rPr>
        <w:t xml:space="preserve"> </w:t>
      </w:r>
      <w:r>
        <w:rPr>
          <w:rFonts w:hint="default"/>
        </w:rPr>
        <w:t>In recent months, both the army and the RSF have moved reinforcements into the vast desert region as they fight for control of supply lines.</w:t>
      </w:r>
    </w:p>
    <w:p w14:paraId="0CEAC79A">
      <w:pPr>
        <w:spacing w:line="276" w:lineRule="auto"/>
        <w:rPr>
          <w:rFonts w:hint="default"/>
          <w:lang w:val="en-GB"/>
        </w:rPr>
      </w:pPr>
      <w:r>
        <w:rPr>
          <w:rFonts w:hint="default"/>
          <w:lang w:val="en-GB"/>
        </w:rPr>
        <w:t>_______________________________________________________________________</w:t>
      </w:r>
    </w:p>
    <w:p w14:paraId="2A8F8CE2">
      <w:pPr>
        <w:pStyle w:val="3"/>
        <w:bidi w:val="0"/>
        <w:rPr>
          <w:rFonts w:hint="default"/>
          <w:lang w:val="en-GB"/>
        </w:rPr>
      </w:pPr>
      <w:bookmarkStart w:id="14" w:name="_Toc19622"/>
      <w:r>
        <w:rPr>
          <w:rFonts w:hint="default"/>
          <w:lang w:val="en-GB"/>
        </w:rPr>
        <w:t>South Sudan</w:t>
      </w:r>
      <w:bookmarkEnd w:id="14"/>
      <w:r>
        <w:rPr>
          <w:rFonts w:hint="default"/>
          <w:lang w:val="en-GB"/>
        </w:rPr>
        <w:t xml:space="preserve"> </w:t>
      </w:r>
    </w:p>
    <w:p w14:paraId="59DDE4D0">
      <w:pPr>
        <w:numPr>
          <w:ilvl w:val="0"/>
          <w:numId w:val="1"/>
        </w:numPr>
        <w:spacing w:line="276" w:lineRule="auto"/>
        <w:ind w:left="420" w:leftChars="0" w:hanging="420" w:firstLineChars="0"/>
        <w:rPr>
          <w:rFonts w:hint="default"/>
          <w:lang w:val="en-GB"/>
        </w:rPr>
      </w:pPr>
      <w:bookmarkStart w:id="15" w:name="_Toc4315"/>
      <w:r>
        <w:rPr>
          <w:rStyle w:val="15"/>
          <w:rFonts w:hint="default"/>
          <w:lang w:val="en-GB"/>
        </w:rPr>
        <w:t xml:space="preserve">South Sudan says oil exports via Sudan resume after pipeline repair </w:t>
      </w:r>
      <w:bookmarkEnd w:id="15"/>
      <w:r>
        <w:rPr>
          <w:rFonts w:hint="default"/>
          <w:lang w:val="en-GB"/>
        </w:rPr>
        <w:t xml:space="preserve">- </w:t>
      </w:r>
      <w:r>
        <w:rPr>
          <w:rFonts w:hint="default"/>
          <w:lang w:val="en-GB"/>
        </w:rPr>
        <w:fldChar w:fldCharType="begin"/>
      </w:r>
      <w:r>
        <w:rPr>
          <w:rFonts w:hint="default"/>
          <w:lang w:val="en-GB"/>
        </w:rPr>
        <w:instrText xml:space="preserve"> HYPERLINK "https://sudantribune.com/article301801/" </w:instrText>
      </w:r>
      <w:r>
        <w:rPr>
          <w:rFonts w:hint="default"/>
          <w:lang w:val="en-GB"/>
        </w:rPr>
        <w:fldChar w:fldCharType="separate"/>
      </w:r>
      <w:r>
        <w:rPr>
          <w:rStyle w:val="10"/>
          <w:rFonts w:hint="default"/>
          <w:lang w:val="en-GB"/>
        </w:rPr>
        <w:t>Sudan Tribune</w:t>
      </w:r>
      <w:r>
        <w:rPr>
          <w:rFonts w:hint="default"/>
          <w:lang w:val="en-GB"/>
        </w:rPr>
        <w:fldChar w:fldCharType="end"/>
      </w:r>
    </w:p>
    <w:p w14:paraId="52BDA734">
      <w:pPr>
        <w:spacing w:line="276" w:lineRule="auto"/>
        <w:rPr>
          <w:rFonts w:hint="default"/>
          <w:lang w:val="en-GB"/>
        </w:rPr>
      </w:pPr>
      <w:r>
        <w:rPr>
          <w:rFonts w:hint="default"/>
          <w:lang w:val="en-GB"/>
        </w:rPr>
        <w:t>South Sudan’s oil exports through Sudan have resumed after repairs to a pipeline damaged in an airstrike, a senior official said on Tuesday, a development that could ease the country’s severe economic pressures. Deng Lual Wol, an undersecretary at the petroleum ministry, said the damaged infrastructure had been fixed and that ships were now collecting the crude. The revenue would help the government pay salary arrears and revive economic activity, he said. “The good news is our oil exports have resumed,” Wol told reporters in Juba. Wol credited the resumption to efforts by President Salva Kiir and Vice President Benjamin Bol Mel, and also thanked Sudanese authorities and oil companies for their role. Landlocked South Sudan depends on a pipeline through its northern neighbour to export its crude oil, which accounts for more than 90% of its state revenue. Exports were halted after a recent airstrike on key infrastructure in Sudan, where the army has been at war with the paramilitary Rapid Support Forces (RSF). No group has claimed responsibility for the attack, which Sudanese authorities have blamed on the RSF. The disruption had a major impact on South Sudan’s budget and stalled development projects. A Sudanese diplomat in Juba confirmed the restart. Maburak Mahjoub Musa, the deputy head of Sudan’s mission, said joint technical teams had repaired the damage. “I can confirm that everything is functioning normally,” Musa said. The news came a day after employees at Nilepet, South Sudan’s state-owned oil company, went on strike to protest delayed salary payments and pay cuts, highlighting the fiscal crisis the export disruption had caused.</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18314"/>
      <w:r>
        <w:rPr>
          <w:rFonts w:eastAsia="DengXian Light" w:cs="Times New Roman"/>
          <w:b/>
          <w:bCs/>
          <w:color w:val="2F5496"/>
          <w:szCs w:val="24"/>
          <w:u w:val="single"/>
        </w:rPr>
        <w:t>Gulf Region and the Middle East</w:t>
      </w:r>
      <w:bookmarkEnd w:id="16"/>
    </w:p>
    <w:p w14:paraId="022CF10A">
      <w:pPr>
        <w:pStyle w:val="3"/>
      </w:pPr>
      <w:bookmarkStart w:id="17" w:name="_Toc1479"/>
      <w:r>
        <w:t>Iran</w:t>
      </w:r>
      <w:bookmarkEnd w:id="17"/>
    </w:p>
    <w:p w14:paraId="36699CC9">
      <w:pPr>
        <w:numPr>
          <w:ilvl w:val="0"/>
          <w:numId w:val="1"/>
        </w:numPr>
        <w:spacing w:line="276" w:lineRule="auto"/>
        <w:ind w:left="420" w:leftChars="0" w:hanging="420" w:firstLineChars="0"/>
        <w:rPr>
          <w:rFonts w:hint="default"/>
        </w:rPr>
      </w:pPr>
      <w:bookmarkStart w:id="18" w:name="_Toc8103"/>
      <w:r>
        <w:rPr>
          <w:rStyle w:val="15"/>
          <w:rFonts w:hint="default"/>
        </w:rPr>
        <w:t>Iran threatens to target Israeli nuclear sites, military infrastructure if attacked</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"https://www.middleeastmonitor.com/20250610-iran-threatens-to-target-israeli-nuclear-sites-military-infrastructure-if-attacked/"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28B02AE">
      <w:pPr>
        <w:spacing w:line="276" w:lineRule="auto"/>
      </w:pPr>
      <w:r>
        <w:rPr>
          <w:rFonts w:hint="default"/>
        </w:rPr>
        <w:t>Iran announced on Monday that it has secret documents related to Israeli nuclear facilities and projects. The documents, according to Tehran, would enable it to strike Israeli nuclear sites and both economic and military infrastructure if its own nuclear facilities come under attack.</w:t>
      </w:r>
      <w:r>
        <w:rPr>
          <w:rFonts w:hint="default"/>
          <w:lang w:val="en-GB"/>
        </w:rPr>
        <w:t xml:space="preserve"> </w:t>
      </w:r>
      <w:r>
        <w:rPr>
          <w:rFonts w:hint="default"/>
        </w:rPr>
        <w:t>In a statement, Iran’s Supreme National Security Council said Iranian intelligence had acquired a large volume of confidential data, including thousands of documents concerning Israeli nuclear projects and facilities.</w:t>
      </w:r>
      <w:r>
        <w:rPr>
          <w:rFonts w:hint="default"/>
          <w:lang w:val="en-GB"/>
        </w:rPr>
        <w:t xml:space="preserve"> </w:t>
      </w:r>
      <w:r>
        <w:rPr>
          <w:rFonts w:hint="default"/>
        </w:rPr>
        <w:t>The statement described the operation as “a major intelligence success”, adding that “the classified documents obtained will allow Tehran to immediately respond to any potential Israeli attack on Iranian nuclear facilities in a way that fully matches the nature of the aggression.”</w:t>
      </w:r>
      <w:r>
        <w:rPr>
          <w:rFonts w:hint="default"/>
          <w:lang w:val="en-GB"/>
        </w:rPr>
        <w:t xml:space="preserve"> </w:t>
      </w:r>
      <w:r>
        <w:rPr>
          <w:rFonts w:hint="default"/>
        </w:rPr>
        <w:t>It further warned that “Tehran will target Israel’s secret nuclear sites and its economic and military infrastructure in the event of any aggression.”</w:t>
      </w:r>
      <w:r>
        <w:rPr>
          <w:rFonts w:hint="default"/>
          <w:lang w:val="en-GB"/>
        </w:rPr>
        <w:t xml:space="preserve"> </w:t>
      </w:r>
      <w:r>
        <w:rPr>
          <w:rFonts w:hint="default"/>
        </w:rPr>
        <w:t>On 7 June, Iranian state television cited intelligence sources as saying that Iran’s security services had seized “thousands of classified documents” believed to belong to the Israeli intelligence service, including data about nuclear installations.</w:t>
      </w:r>
      <w:r>
        <w:rPr>
          <w:rFonts w:hint="default"/>
          <w:lang w:val="en-GB"/>
        </w:rPr>
        <w:t xml:space="preserve"> </w:t>
      </w:r>
      <w:r>
        <w:rPr>
          <w:rFonts w:hint="default"/>
        </w:rPr>
        <w:t>The report stated that the operation took several months, and that the documents are still being examined and analysed.</w:t>
      </w:r>
      <w:r>
        <w:rPr>
          <w:rFonts w:hint="default"/>
          <w:lang w:val="en-GB"/>
        </w:rPr>
        <w:t xml:space="preserve"> </w:t>
      </w:r>
      <w:r>
        <w:rPr>
          <w:rFonts w:hint="default"/>
        </w:rPr>
        <w:t>Iran’s Intelligence Minister, Esmail Khatib, said the documents include sensitive information about Israel’s nuclear programme and its connections with the United States, European countries, and other international actors.</w:t>
      </w:r>
      <w:r>
        <w:rPr>
          <w:rFonts w:hint="default"/>
          <w:lang w:val="en-GB"/>
        </w:rPr>
        <w:t xml:space="preserve"> </w:t>
      </w:r>
      <w:r>
        <w:rPr>
          <w:rFonts w:hint="default"/>
        </w:rPr>
        <w:t>In a related development, Iranian Foreign Ministry spokesman Nasser Kanaani said during a press conference in Tehran that some of the documents show support from European countries for Israel’s nuclear programme.</w:t>
      </w:r>
      <w:r>
        <w:rPr>
          <w:rFonts w:hint="default"/>
          <w:lang w:val="en-GB"/>
        </w:rPr>
        <w:t xml:space="preserve"> </w:t>
      </w:r>
      <w:r>
        <w:rPr>
          <w:rFonts w:hint="default"/>
        </w:rPr>
        <w:t>Meanwhile, Rafael Grossi, Director General of the International Atomic Energy Agency, said there is clear evidence that some of the agency’s confidential documents have fallen into Iran’s hands.</w:t>
      </w:r>
    </w:p>
    <w:p w14:paraId="3B66B657">
      <w:pPr>
        <w:pStyle w:val="3"/>
        <w:spacing w:line="276" w:lineRule="auto"/>
      </w:pPr>
      <w:bookmarkStart w:id="19" w:name="_Toc8687"/>
      <w:r>
        <w:t>Israel</w:t>
      </w:r>
      <w:bookmarkEnd w:id="19"/>
      <w:r>
        <w:t xml:space="preserve"> </w:t>
      </w:r>
    </w:p>
    <w:p w14:paraId="4D4A3DFC">
      <w:pPr>
        <w:numPr>
          <w:ilvl w:val="0"/>
          <w:numId w:val="1"/>
        </w:numPr>
        <w:spacing w:line="276" w:lineRule="auto"/>
        <w:ind w:left="420" w:leftChars="0" w:hanging="420" w:firstLineChars="0"/>
        <w:rPr>
          <w:rFonts w:hint="default"/>
        </w:rPr>
      </w:pPr>
      <w:bookmarkStart w:id="20" w:name="_Toc590"/>
      <w:r>
        <w:rPr>
          <w:rStyle w:val="15"/>
          <w:rFonts w:hint="default"/>
        </w:rPr>
        <w:t>Israel’s crisis deepens as Knesset dissolution threatened and Netanyahu manoeuvres to avoid government collapse</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"https://www.middleeastmonitor.com/20250611-israels-crisis-deepens-as-knesset-dissolution-threatened-and-netanyahu-manoeuvres-to-avoid-government-collapse/"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74DA53D">
      <w:pPr>
        <w:spacing w:line="276" w:lineRule="auto"/>
        <w:rPr>
          <w:rFonts w:hint="default"/>
        </w:rPr>
      </w:pPr>
      <w:r>
        <w:rPr>
          <w:rFonts w:hint="default"/>
        </w:rPr>
        <w:t>Israel’s government is facing one of its most serious political crises, as the Prime Minister races against time to prevent the ruling coalition from collapsing by delaying today’s (Wednesday) preliminary vote on dissolving the Knesset. The crisis comes amid an unprecedented escalation by ultra-Orthodox parties, which have threatened to support the Knesset’s dissolution unless an agreement is reached on the military service exemption law for yeshiva students.</w:t>
      </w:r>
      <w:r>
        <w:rPr>
          <w:rFonts w:hint="default"/>
          <w:lang w:val="en-GB"/>
        </w:rPr>
        <w:t xml:space="preserve"> </w:t>
      </w:r>
      <w:r>
        <w:rPr>
          <w:rFonts w:hint="default"/>
        </w:rPr>
        <w:t>The United Torah Judaism party openly declared: “If no law is agreed upon, we will vote in favour of dissolving the Knesset.” Meanwhile, Shas party continues to await instructions from its rabbis, with internal doubts emerging about Prime Minister Benjamin Netanyahu’s intentions. A party source remarked, “We know Bibi’s methods — he doesn’t pass laws, he stalls.”</w:t>
      </w:r>
      <w:r>
        <w:rPr>
          <w:rFonts w:hint="default"/>
          <w:lang w:val="en-GB"/>
        </w:rPr>
        <w:t xml:space="preserve"> </w:t>
      </w:r>
      <w:r>
        <w:rPr>
          <w:rFonts w:hint="default"/>
        </w:rPr>
        <w:t>In the past hours, Netanyahu has made intense efforts to postpone the preliminary vote on the proposed Knesset dissolution. He presented the ultra-Orthodox factions with a new draft of the conscription law, revised in a way that could stand up to scrutiny by the Supreme Court. This was done without consulting the legal adviser to the Foreign Affairs and Defence Committee, a move seen as bypassing standard procedures.</w:t>
      </w:r>
      <w:r>
        <w:rPr>
          <w:rFonts w:hint="default"/>
          <w:lang w:val="en-GB"/>
        </w:rPr>
        <w:t xml:space="preserve"> </w:t>
      </w:r>
      <w:r>
        <w:rPr>
          <w:rFonts w:hint="default"/>
        </w:rPr>
        <w:t>According to informed sources, Netanyahu proposed to the committee’s chair, Yuli Edelstein, to delay imposing penalties on those who fail to enlist, suggesting a transitional period to allow “adjustment.” At the same time, Cabinet Secretary Yossi Fuchs is attempting to convince the ultra-Orthodox parties to grant the coalition one more week before proceeding with the vote.</w:t>
      </w:r>
    </w:p>
    <w:p w14:paraId="45DF87CE">
      <w:pPr>
        <w:numPr>
          <w:ilvl w:val="0"/>
          <w:numId w:val="1"/>
        </w:numPr>
        <w:spacing w:line="276" w:lineRule="auto"/>
        <w:ind w:left="420" w:leftChars="0" w:hanging="420" w:firstLineChars="0"/>
        <w:rPr>
          <w:rFonts w:hint="default"/>
        </w:rPr>
      </w:pPr>
      <w:bookmarkStart w:id="21" w:name="_Toc26305"/>
      <w:r>
        <w:rPr>
          <w:rStyle w:val="15"/>
          <w:rFonts w:hint="default"/>
        </w:rPr>
        <w:t>Israel’s Netanyahu claims progress in prisoner swap negotiations with Hamas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"https://www.middleeastmonitor.com/20250610-israels-netanyahu-claims-progress-in-prisoner-swap-negotiations-with-hamas/"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EDA730A">
      <w:pPr>
        <w:spacing w:line="276" w:lineRule="auto"/>
        <w:rPr>
          <w:rFonts w:hint="default"/>
        </w:rPr>
      </w:pPr>
      <w:r>
        <w:rPr>
          <w:rFonts w:hint="default"/>
        </w:rPr>
        <w:t>Israeli Prime Minister Benjamin Netanyahu claimed “significant progress” on Tuesday in negotiations for a Gaza ceasefire and prisoner exchange, Anadolu reports.</w:t>
      </w:r>
      <w:r>
        <w:rPr>
          <w:rFonts w:hint="default"/>
          <w:lang w:val="en-GB"/>
        </w:rPr>
        <w:t xml:space="preserve"> </w:t>
      </w:r>
      <w:r>
        <w:rPr>
          <w:rFonts w:hint="default"/>
        </w:rPr>
        <w:t>“It is too soon to give people hope,” Netanyahu said in a video released by his office. “We are currently working ceaselessly on it.”</w:t>
      </w:r>
      <w:r>
        <w:rPr>
          <w:rFonts w:hint="default"/>
          <w:lang w:val="en-GB"/>
        </w:rPr>
        <w:t xml:space="preserve"> </w:t>
      </w:r>
      <w:r>
        <w:rPr>
          <w:rFonts w:hint="default"/>
        </w:rPr>
        <w:t>Israeli Foreign Minister Gideon Saar also claimed progress in the ceasefire talks.</w:t>
      </w:r>
      <w:r>
        <w:rPr>
          <w:rFonts w:hint="default"/>
          <w:lang w:val="en-GB"/>
        </w:rPr>
        <w:t xml:space="preserve"> </w:t>
      </w:r>
      <w:r>
        <w:rPr>
          <w:rFonts w:hint="default"/>
        </w:rPr>
        <w:t>“Some progress has been made recently, and in light of past experiences, I do not want to exaggerate it,” he told a press conference in Jerusalem.</w:t>
      </w:r>
      <w:r>
        <w:rPr>
          <w:rFonts w:hint="default"/>
          <w:lang w:val="en-GB"/>
        </w:rPr>
        <w:t xml:space="preserve"> </w:t>
      </w:r>
      <w:r>
        <w:rPr>
          <w:rFonts w:hint="default"/>
        </w:rPr>
        <w:t>According to The Jerusalem Post newspaper, Netanyahu held a meeting last night to discuss the ceasefire negotiations.</w:t>
      </w:r>
      <w:r>
        <w:rPr>
          <w:rFonts w:hint="default"/>
          <w:lang w:val="en-GB"/>
        </w:rPr>
        <w:t xml:space="preserve"> </w:t>
      </w:r>
      <w:r>
        <w:rPr>
          <w:rFonts w:hint="default"/>
        </w:rPr>
        <w:t>The daily said the Palestinian group Hamas has been drafting a new response to US envoy Steve Witkoff’s ceasefire proposal, and “it could potentially lead to a breakthrough in the negotiations.”</w:t>
      </w:r>
      <w:r>
        <w:rPr>
          <w:rFonts w:hint="default"/>
          <w:lang w:val="en-GB"/>
        </w:rPr>
        <w:t xml:space="preserve"> </w:t>
      </w:r>
      <w:r>
        <w:rPr>
          <w:rFonts w:hint="default"/>
        </w:rPr>
        <w:t>There was no immediate comment from Hamas or the US on the Israeli claim.</w:t>
      </w:r>
      <w:r>
        <w:rPr>
          <w:rFonts w:hint="default"/>
          <w:lang w:val="en-GB"/>
        </w:rPr>
        <w:t xml:space="preserve"> </w:t>
      </w:r>
      <w:r>
        <w:rPr>
          <w:rFonts w:hint="default"/>
        </w:rPr>
        <w:t>Israel estimates that 56 hostages remain in Gaza, including 20 believed to be alive. Meanwhile, more than 10,100 Palestinians are held in Israeli prisons under harsh conditions, including reports of torture, starvation, and medical neglect, according to Palestinian and Israeli rights groups.</w:t>
      </w:r>
      <w:r>
        <w:rPr>
          <w:rFonts w:hint="default"/>
          <w:lang w:val="en-GB"/>
        </w:rPr>
        <w:t xml:space="preserve"> </w:t>
      </w:r>
      <w:r>
        <w:rPr>
          <w:rFonts w:hint="default"/>
        </w:rPr>
        <w:t>Hamas has repeatedly offered to release all Israeli captives in exchange for an end to the war, a full withdrawal of Israeli troops from Gaza, and the release of Palestinian prisoners. However, Netanyahu has rejected those terms, insisting on the disarmament of Palestinian resistance factions and pushing for renewed control over Gaza.</w:t>
      </w:r>
      <w:r>
        <w:rPr>
          <w:rFonts w:hint="default"/>
          <w:lang w:val="en-GB"/>
        </w:rPr>
        <w:t xml:space="preserve"> </w:t>
      </w:r>
      <w:r>
        <w:rPr>
          <w:rFonts w:hint="default"/>
        </w:rPr>
        <w:t>The Israeli opposition and families of the hostages have accused Netanyahu of prolonging the war to appease his far-right coalition partners and maintain power.</w:t>
      </w:r>
      <w:r>
        <w:rPr>
          <w:rFonts w:hint="default"/>
          <w:lang w:val="en-GB"/>
        </w:rPr>
        <w:t xml:space="preserve"> </w:t>
      </w:r>
      <w:r>
        <w:rPr>
          <w:rFonts w:hint="default"/>
        </w:rPr>
        <w:t>The Israeli army, rejecting international calls for a ceasefire, has pursued a brutal offensive against Gaza since October 2023, killing nearly 55,000 Palestinians, most of them women and children.</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crimes against civilians in the enclave.</w:t>
      </w:r>
    </w:p>
    <w:p w14:paraId="0CEF8774">
      <w:pPr>
        <w:pStyle w:val="3"/>
      </w:pPr>
      <w:bookmarkStart w:id="22" w:name="_Toc14116"/>
      <w:r>
        <w:t>Palestine</w:t>
      </w:r>
      <w:bookmarkEnd w:id="22"/>
      <w:r>
        <w:t xml:space="preserve"> </w:t>
      </w:r>
    </w:p>
    <w:p w14:paraId="684B55C9">
      <w:pPr>
        <w:numPr>
          <w:ilvl w:val="0"/>
          <w:numId w:val="1"/>
        </w:numPr>
        <w:spacing w:line="276" w:lineRule="auto"/>
        <w:ind w:left="420" w:leftChars="0" w:hanging="420" w:firstLineChars="0"/>
        <w:rPr>
          <w:rFonts w:hint="default"/>
        </w:rPr>
      </w:pPr>
      <w:bookmarkStart w:id="23" w:name="_Toc24948"/>
      <w:r>
        <w:rPr>
          <w:rStyle w:val="15"/>
          <w:rFonts w:hint="default"/>
        </w:rPr>
        <w:t>Hamas calls for halting operations at suspicious Israel- led aid distribution “death” traps in Gaza</w:t>
      </w:r>
      <w:r>
        <w:rPr>
          <w:rStyle w:val="15"/>
          <w:rFonts w:hint="default"/>
          <w:lang w:val="en-GB"/>
        </w:rPr>
        <w:t xml:space="preserve"> </w:t>
      </w:r>
      <w:bookmarkEnd w:id="23"/>
      <w:r>
        <w:rPr>
          <w:rFonts w:hint="default"/>
          <w:lang w:val="en-GB"/>
        </w:rPr>
        <w:t xml:space="preserve">- </w:t>
      </w:r>
      <w:r>
        <w:rPr>
          <w:rFonts w:hint="default"/>
          <w:lang w:val="en-GB"/>
        </w:rPr>
        <w:fldChar w:fldCharType="begin"/>
      </w:r>
      <w:r>
        <w:rPr>
          <w:rFonts w:hint="default"/>
          <w:lang w:val="en-GB"/>
        </w:rPr>
        <w:instrText xml:space="preserve"> HYPERLINK "https://www.middleeastmonitor.com/20250610-hamas-calls-for-halting-operations-at-suspicious-israel-led-aid-distribution-death-traps-in-gaza/"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4ECB89C">
      <w:pPr>
        <w:spacing w:line="276" w:lineRule="auto"/>
        <w:rPr>
          <w:rFonts w:hint="default"/>
        </w:rPr>
      </w:pPr>
      <w:r>
        <w:rPr>
          <w:rFonts w:hint="default"/>
        </w:rPr>
        <w:t>The Palestinian Resistance Movement, Hamas has accused the Israeli occupation forces of committing ongoing massacres against civilians in the Gaza Strip, and described the “American-Israeli aid centers” as having turned into “death traps”, Quds Press reported.</w:t>
      </w:r>
      <w:r>
        <w:rPr>
          <w:rFonts w:hint="default"/>
          <w:lang w:val="en-GB"/>
        </w:rPr>
        <w:t xml:space="preserve"> </w:t>
      </w:r>
      <w:r>
        <w:rPr>
          <w:rFonts w:hint="default"/>
        </w:rPr>
        <w:t>In a statement issued on Monday, the movement said dozens of civilians, including women and children, were killed in the past hours as a result of intense shelling targeting residential neighbourhoods and inhabited homes across the Gaza Strip. At least ten civilians were killed and dozens more were injured on Monday morning after the Israeli army targeted hungry civilians near two aid distribution centers west of Rafah and south of Gaza City.</w:t>
      </w:r>
      <w:r>
        <w:rPr>
          <w:rFonts w:hint="default"/>
          <w:lang w:val="en-GB"/>
        </w:rPr>
        <w:t xml:space="preserve"> </w:t>
      </w:r>
      <w:r>
        <w:rPr>
          <w:rFonts w:hint="default"/>
        </w:rPr>
        <w:t>Hamas described the Israeli crimes as organized killings under a “false humanitarian cover”, explaining that the Israeli occupation is exploiting “aid distribution centers” to lure civilians into buffer zones under its full military control, then targeting them with live ammunition. “This is a full-fledged war crime that adds to the occupation’s long record of violations” it added.</w:t>
      </w:r>
      <w:r>
        <w:rPr>
          <w:rFonts w:hint="default"/>
          <w:lang w:val="en-GB"/>
        </w:rPr>
        <w:t xml:space="preserve"> </w:t>
      </w:r>
      <w:r>
        <w:rPr>
          <w:rFonts w:hint="default"/>
        </w:rPr>
        <w:t>Hamas affirmed that the Israeli occupation’s crimes against the Palestinians including starvation, killing, and exploitation of aid; constitute war crimes and genocide committed publicly and in full view of the world.</w:t>
      </w:r>
      <w:r>
        <w:rPr>
          <w:rFonts w:hint="default"/>
          <w:lang w:val="en-GB"/>
        </w:rPr>
        <w:t xml:space="preserve"> </w:t>
      </w:r>
      <w:r>
        <w:rPr>
          <w:rFonts w:hint="default"/>
        </w:rPr>
        <w:t>It held the international community responsible for the continuation of these atrocities without accountability.</w:t>
      </w:r>
      <w:r>
        <w:rPr>
          <w:rFonts w:hint="default"/>
          <w:lang w:val="en-GB"/>
        </w:rPr>
        <w:t xml:space="preserve"> </w:t>
      </w:r>
      <w:r>
        <w:rPr>
          <w:rFonts w:hint="default"/>
        </w:rPr>
        <w:t>The movement stressed that the Israeli ongoing genocidal war against the Palestinians for more than twenty months represents a stain on humanity and places the international community before an urgent legal and moral obligation to isolate Israel and prosecute its leaders and bring them to justice for their crimes against humanity.</w:t>
      </w:r>
      <w:r>
        <w:rPr>
          <w:rFonts w:hint="default"/>
          <w:lang w:val="en-GB"/>
        </w:rPr>
        <w:t xml:space="preserve"> </w:t>
      </w:r>
      <w:r>
        <w:rPr>
          <w:rFonts w:hint="default"/>
        </w:rPr>
        <w:t>In conclusion, Hamas called for an independent international investigation into the occupation’s crimes and for Prime Minister Benjamin Netanyahu and the Israeli occupation leaders to be brought to justice.</w:t>
      </w:r>
    </w:p>
    <w:p w14:paraId="69C48608">
      <w:pPr>
        <w:numPr>
          <w:ilvl w:val="0"/>
          <w:numId w:val="1"/>
        </w:numPr>
        <w:spacing w:line="276" w:lineRule="auto"/>
        <w:ind w:left="420" w:leftChars="0" w:hanging="420" w:firstLineChars="0"/>
        <w:rPr>
          <w:rFonts w:hint="default"/>
        </w:rPr>
      </w:pPr>
      <w:bookmarkStart w:id="24" w:name="_Toc4621"/>
      <w:r>
        <w:rPr>
          <w:rStyle w:val="15"/>
          <w:rFonts w:hint="default"/>
        </w:rPr>
        <w:t>UN says Israel rejected 11 of its 18 humanitarian coordination requests in Gaza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"https://www.middleeastmonitor.com/20250610-un-says-israel-rejected-11-of-its-18-humanitarian-coordination-requests-in-gaza/"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C86656E">
      <w:pPr>
        <w:spacing w:line="276" w:lineRule="auto"/>
        <w:rPr>
          <w:rFonts w:hint="default"/>
        </w:rPr>
      </w:pPr>
      <w:r>
        <w:rPr>
          <w:rFonts w:hint="default"/>
        </w:rPr>
        <w:t>The UN said on Tuesday that Israeli authorities rejected 11 of its 18 humanitarian coordination requests in the Gaza Strip, as the humanitarian situation in the enclave continues to deteriorate, Anadolu reports.</w:t>
      </w:r>
      <w:r>
        <w:rPr>
          <w:rFonts w:hint="default"/>
          <w:lang w:val="en-GB"/>
        </w:rPr>
        <w:t xml:space="preserve"> </w:t>
      </w:r>
      <w:r>
        <w:rPr>
          <w:rFonts w:hint="default"/>
        </w:rPr>
        <w:t>“Israeli authorities continue to deny many humanitarian movements within the Strip to provide whatever limited services are available to the population,” UN spokesperson Farhan Haq said at a news conference, adding that the rejected requests included attempts to truck water, retrieve fuel, carry out a rescue mission in Khan Younis, and repair roads.</w:t>
      </w:r>
      <w:r>
        <w:rPr>
          <w:rFonts w:hint="default"/>
          <w:lang w:val="en-GB"/>
        </w:rPr>
        <w:t xml:space="preserve"> </w:t>
      </w:r>
      <w:r>
        <w:rPr>
          <w:rFonts w:hint="default"/>
        </w:rPr>
        <w:t>Citing the Office for the Coordination of Humanitarian Affairs (OCHA), Haq warned that more than two million people in Gaza are being denied basic necessities amid ongoing Israeli military operations.</w:t>
      </w:r>
      <w:r>
        <w:rPr>
          <w:rFonts w:hint="default"/>
          <w:lang w:val="en-GB"/>
        </w:rPr>
        <w:t xml:space="preserve"> </w:t>
      </w:r>
      <w:r>
        <w:rPr>
          <w:rFonts w:hint="default"/>
        </w:rPr>
        <w:t>“In northern Gaza, Israeli military operations have intensified in recent days, with mass casualties reported,” he said, noting that “hungry and displaced people have also reportedly been killed while risking their lives to access food at militarized distribution hubs.”</w:t>
      </w:r>
      <w:r>
        <w:rPr>
          <w:rFonts w:hint="default"/>
          <w:lang w:val="en-GB"/>
        </w:rPr>
        <w:t xml:space="preserve"> </w:t>
      </w:r>
      <w:r>
        <w:rPr>
          <w:rFonts w:hint="default"/>
        </w:rPr>
        <w:t>Since May 27, Israel has launched a new aid initiative in Gaza through the so-called “Gaza Relief Foundation,” supported by the US and Israel, bypassing the UN. Many Palestinians see it as an effort to forcibly relocate people from northern to southern Gaza.</w:t>
      </w:r>
      <w:r>
        <w:rPr>
          <w:rFonts w:hint="default"/>
          <w:lang w:val="en-GB"/>
        </w:rPr>
        <w:t xml:space="preserve"> </w:t>
      </w:r>
      <w:r>
        <w:rPr>
          <w:rFonts w:hint="default"/>
        </w:rPr>
        <w:t>Meanwhile, Israel has kept Gaza’s main border crossings sealed since March 2, allowing only a limited number of trucks to enter. The enclave requires a minimum of 500 aid trucks per day to meet basic needs.</w:t>
      </w:r>
      <w:r>
        <w:rPr>
          <w:rFonts w:hint="default"/>
          <w:lang w:val="en-GB"/>
        </w:rPr>
        <w:t xml:space="preserve"> </w:t>
      </w:r>
      <w:r>
        <w:rPr>
          <w:rFonts w:hint="default"/>
        </w:rPr>
        <w:t>The Israeli army, rejecting international calls for a ceasefire, has pursued a brutal offensive against Gaza since October 2023, killing nearly 55,000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5" w:name="_Toc11223"/>
      <w:r>
        <w:rPr>
          <w:rFonts w:eastAsia="DengXian Light" w:cs="Times New Roman"/>
          <w:b/>
          <w:bCs/>
          <w:color w:val="2F5496"/>
          <w:szCs w:val="24"/>
          <w:u w:val="single"/>
        </w:rPr>
        <w:t>Global Powers</w:t>
      </w:r>
      <w:bookmarkEnd w:id="25"/>
    </w:p>
    <w:p w14:paraId="36D0E9D5">
      <w:pPr>
        <w:pStyle w:val="3"/>
        <w:spacing w:line="276" w:lineRule="auto"/>
        <w:rPr>
          <w:lang w:eastAsia="zh-CN"/>
        </w:rPr>
      </w:pPr>
      <w:bookmarkStart w:id="26" w:name="_Toc27945"/>
      <w:r>
        <w:rPr>
          <w:rFonts w:hint="default"/>
          <w:lang w:val="en-GB" w:eastAsia="zh-CN"/>
        </w:rPr>
        <w:t>US</w:t>
      </w:r>
      <w:bookmarkEnd w:id="26"/>
      <w:r>
        <w:rPr>
          <w:lang w:eastAsia="zh-CN"/>
        </w:rPr>
        <w:t xml:space="preserve"> </w:t>
      </w:r>
    </w:p>
    <w:p w14:paraId="027F608B">
      <w:pPr>
        <w:numPr>
          <w:ilvl w:val="0"/>
          <w:numId w:val="1"/>
        </w:numPr>
        <w:spacing w:line="276" w:lineRule="auto"/>
        <w:ind w:left="420" w:leftChars="0" w:hanging="420" w:firstLineChars="0"/>
        <w:rPr>
          <w:rFonts w:hint="default"/>
        </w:rPr>
      </w:pPr>
      <w:bookmarkStart w:id="27" w:name="_Toc2261"/>
      <w:r>
        <w:rPr>
          <w:rStyle w:val="15"/>
          <w:rFonts w:hint="default"/>
        </w:rPr>
        <w:t>U.S. ambassador to Israel: Washington no longer pursuing independent Palestinian state</w:t>
      </w:r>
      <w:bookmarkEnd w:id="27"/>
      <w:r>
        <w:rPr>
          <w:rFonts w:hint="default"/>
          <w:lang w:val="en-GB"/>
        </w:rPr>
        <w:t xml:space="preserve"> - </w:t>
      </w:r>
      <w:r>
        <w:rPr>
          <w:rFonts w:hint="default"/>
          <w:lang w:val="en-GB"/>
        </w:rPr>
        <w:fldChar w:fldCharType="begin"/>
      </w:r>
      <w:r>
        <w:rPr>
          <w:rFonts w:hint="default"/>
          <w:lang w:val="en-GB"/>
        </w:rPr>
        <w:instrText xml:space="preserve"> HYPERLINK "https://news.cgtn.com/news/2025-06-11/U-S-no-longer-pursuing-independent-Palestinian-state-says-ambassador-1E6ToIEbZIY/p.html" </w:instrText>
      </w:r>
      <w:r>
        <w:rPr>
          <w:rFonts w:hint="default"/>
          <w:lang w:val="en-GB"/>
        </w:rPr>
        <w:fldChar w:fldCharType="separate"/>
      </w:r>
      <w:r>
        <w:rPr>
          <w:rStyle w:val="10"/>
          <w:rFonts w:hint="default"/>
          <w:lang w:val="en-GB"/>
        </w:rPr>
        <w:t>CGTN</w:t>
      </w:r>
      <w:r>
        <w:rPr>
          <w:rFonts w:hint="default"/>
          <w:lang w:val="en-GB"/>
        </w:rPr>
        <w:fldChar w:fldCharType="end"/>
      </w:r>
    </w:p>
    <w:p w14:paraId="36DFFB48">
      <w:pPr>
        <w:spacing w:line="276" w:lineRule="auto"/>
        <w:rPr>
          <w:rFonts w:hint="default"/>
        </w:rPr>
      </w:pPr>
      <w:r>
        <w:rPr>
          <w:rFonts w:hint="default"/>
        </w:rPr>
        <w:t>The U.S. is no longer pursuing the goal of an independent Palestinian state under the current circumstances, U.S. Ambassador to Israel Mike Huckabee said in an interview with Bloomberg News published on Tuesday.</w:t>
      </w:r>
      <w:r>
        <w:rPr>
          <w:rFonts w:hint="default"/>
          <w:lang w:val="en-GB"/>
        </w:rPr>
        <w:t xml:space="preserve"> </w:t>
      </w:r>
      <w:r>
        <w:rPr>
          <w:rFonts w:hint="default"/>
        </w:rPr>
        <w:t>When asked if a Palestinian state remains a goal of the U.S. policy, he replied: "I don't think so."</w:t>
      </w:r>
      <w:r>
        <w:rPr>
          <w:rFonts w:hint="default"/>
          <w:lang w:val="en-GB"/>
        </w:rPr>
        <w:t xml:space="preserve"> </w:t>
      </w:r>
      <w:r>
        <w:rPr>
          <w:rFonts w:hint="default"/>
        </w:rPr>
        <w:t>Huckabee went on to suggest that any future Palestinian entity would have to be located outside the West Bank and provided by a Muslim country rather than requiring Israel to "cede territory."</w:t>
      </w:r>
      <w:r>
        <w:rPr>
          <w:rFonts w:hint="default"/>
          <w:lang w:val="en-GB"/>
        </w:rPr>
        <w:t xml:space="preserve"> </w:t>
      </w:r>
      <w:r>
        <w:rPr>
          <w:rFonts w:hint="default"/>
        </w:rPr>
        <w:t>He added that allowing a Palestinian state to be established in the West Bank would require significant changes, which may not occur "in our lifetime."</w:t>
      </w:r>
      <w:r>
        <w:rPr>
          <w:rFonts w:hint="default"/>
          <w:lang w:val="en-GB"/>
        </w:rPr>
        <w:t xml:space="preserve"> </w:t>
      </w:r>
      <w:r>
        <w:rPr>
          <w:rFonts w:hint="default"/>
        </w:rPr>
        <w:t>"Unless there are some significant things that happen that change the culture, there's no room for it," Huckabee was quoted as saying. State Department spokeswoman Tammy Bruce later said the ambassador "speaks for himself," and it is the president who is responsible for U.S. policy in the Middle East.</w:t>
      </w:r>
      <w:r>
        <w:rPr>
          <w:rFonts w:hint="default"/>
          <w:lang w:val="en-GB"/>
        </w:rPr>
        <w:t xml:space="preserve"> </w:t>
      </w:r>
      <w:r>
        <w:rPr>
          <w:rFonts w:hint="default"/>
        </w:rPr>
        <w:t>Over two-thirds of United Nations member states have currently recognized the State of Palestine. The international community largely agrees that the only viable solution to the Palestinian issue is the implementation of the two-state solution. This would involve the creation of a fully sovereign and independent Palestinian state based on the 1967 borders, with East Jerusalem as its capital, fostering peaceful coexistence between Palestine and Israel, and ensuring lasting peace in the Middle East.</w:t>
      </w:r>
      <w:r>
        <w:rPr>
          <w:rFonts w:hint="default"/>
          <w:lang w:val="en-GB"/>
        </w:rPr>
        <w:t xml:space="preserve"> </w:t>
      </w:r>
      <w:r>
        <w:rPr>
          <w:rFonts w:hint="default"/>
        </w:rPr>
        <w:t>Huckabee's comments come just one week after UN Secretary-General Antonio Guterres urged world leaders to keep two-state solution 'alive' at UN Headquarters in New York.</w:t>
      </w:r>
      <w:r>
        <w:rPr>
          <w:rFonts w:hint="default"/>
          <w:lang w:val="en-GB"/>
        </w:rPr>
        <w:t xml:space="preserve"> </w:t>
      </w:r>
      <w:r>
        <w:rPr>
          <w:rFonts w:hint="default"/>
        </w:rPr>
        <w:t>"And for those that doubt about the two-state solution, I ask: What is the alternative? Is it a one-state solution in which either the Palestinians are expelled or forced to live in their land without rights?" said the UN chief.</w:t>
      </w:r>
      <w:r>
        <w:rPr>
          <w:rFonts w:hint="default"/>
          <w:lang w:val="en-GB"/>
        </w:rPr>
        <w:t xml:space="preserve"> </w:t>
      </w:r>
      <w:r>
        <w:rPr>
          <w:rFonts w:hint="default"/>
        </w:rPr>
        <w:t>Later this month, French and Saudi diplomats will host a conference at the UN aimed at laying out a roadmap for an eventual Palestinian state.</w:t>
      </w:r>
    </w:p>
    <w:p w14:paraId="3CE928BF">
      <w:pPr>
        <w:spacing w:line="276" w:lineRule="auto"/>
        <w:rPr>
          <w:rFonts w:hint="default"/>
          <w:lang w:val="en-GB"/>
        </w:rPr>
      </w:pPr>
      <w:r>
        <w:rPr>
          <w:rFonts w:hint="default"/>
          <w:lang w:val="en-GB"/>
        </w:rPr>
        <w:t>________________________________________________________________________</w:t>
      </w:r>
    </w:p>
    <w:p w14:paraId="6DE2E79F">
      <w:pPr>
        <w:pStyle w:val="3"/>
        <w:bidi w:val="0"/>
        <w:rPr>
          <w:rFonts w:hint="default"/>
          <w:lang w:val="en-GB"/>
        </w:rPr>
      </w:pPr>
      <w:bookmarkStart w:id="28" w:name="_Toc13274"/>
      <w:r>
        <w:rPr>
          <w:rFonts w:hint="default"/>
          <w:lang w:val="en-GB"/>
        </w:rPr>
        <w:t>China</w:t>
      </w:r>
      <w:bookmarkEnd w:id="28"/>
    </w:p>
    <w:p w14:paraId="212D002A">
      <w:pPr>
        <w:numPr>
          <w:ilvl w:val="0"/>
          <w:numId w:val="1"/>
        </w:numPr>
        <w:spacing w:line="276" w:lineRule="auto"/>
        <w:ind w:left="420" w:leftChars="0" w:hanging="420" w:firstLineChars="0"/>
        <w:rPr>
          <w:rFonts w:hint="default"/>
          <w:lang w:val="en-GB"/>
        </w:rPr>
      </w:pPr>
      <w:bookmarkStart w:id="29" w:name="_Toc8674"/>
      <w:r>
        <w:rPr>
          <w:rStyle w:val="15"/>
          <w:rFonts w:hint="default"/>
          <w:lang w:val="en-GB"/>
        </w:rPr>
        <w:t>China, U.S. agree on framework to implement leaders' consensus, says China's trade representative</w:t>
      </w:r>
      <w:bookmarkEnd w:id="29"/>
      <w:r>
        <w:rPr>
          <w:rFonts w:hint="default"/>
          <w:lang w:val="en-GB"/>
        </w:rPr>
        <w:t xml:space="preserve"> - </w:t>
      </w:r>
      <w:r>
        <w:rPr>
          <w:rFonts w:hint="default"/>
          <w:lang w:val="en-GB"/>
        </w:rPr>
        <w:fldChar w:fldCharType="begin"/>
      </w:r>
      <w:r>
        <w:rPr>
          <w:rFonts w:hint="default"/>
          <w:lang w:val="en-GB"/>
        </w:rPr>
        <w:instrText xml:space="preserve"> HYPERLINK "https://news.cgtn.com/news/2025-06-11/news-1E6KshQRPrO/p.html" </w:instrText>
      </w:r>
      <w:r>
        <w:rPr>
          <w:rFonts w:hint="default"/>
          <w:lang w:val="en-GB"/>
        </w:rPr>
        <w:fldChar w:fldCharType="separate"/>
      </w:r>
      <w:r>
        <w:rPr>
          <w:rStyle w:val="10"/>
          <w:rFonts w:hint="default"/>
          <w:lang w:val="en-GB"/>
        </w:rPr>
        <w:t>CGTN</w:t>
      </w:r>
      <w:r>
        <w:rPr>
          <w:rFonts w:hint="default"/>
          <w:lang w:val="en-GB"/>
        </w:rPr>
        <w:fldChar w:fldCharType="end"/>
      </w:r>
    </w:p>
    <w:p w14:paraId="270803CA">
      <w:pPr>
        <w:spacing w:line="276" w:lineRule="auto"/>
        <w:rPr>
          <w:rFonts w:hint="default"/>
          <w:lang w:val="en-GB"/>
        </w:rPr>
      </w:pPr>
      <w:r>
        <w:rPr>
          <w:rFonts w:hint="default"/>
          <w:lang w:val="en-GB"/>
        </w:rPr>
        <w:t>China and the United States have agreed in principle on the framework for implementing the consensus reached by the two heads of state during their phone talks on June 5 and at Geneva talks last month, said Li Chenggang, China's international trade representative and vice commerce minister, on Tuesday. He made the remarks when briefing the press following the first meeting of the China-U.S. economic and trade consultation mechanism in London. The Chinese and U.S. teams held "professional, rational, in-depth and candid" discussions on economy and trade on Monday and Tuesday, he said. Li said it is hoped that progress made at the London meeting will be conducive to strengthening trust between China and the United States, further promoting the steady and healthy development of economic and trade ties between the two countries. He said he hopes the meeting will inject positive energy into global economic growth.</w:t>
      </w:r>
    </w:p>
    <w:p w14:paraId="2F797E75">
      <w:pPr>
        <w:spacing w:line="276" w:lineRule="auto"/>
        <w:rPr>
          <w:rFonts w:hint="default"/>
        </w:rPr>
      </w:pPr>
    </w:p>
    <w:p w14:paraId="452A27DB">
      <w:pPr>
        <w:spacing w:line="276" w:lineRule="auto"/>
      </w:pP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890CB1"/>
    <w:multiLevelType w:val="singleLevel"/>
    <w:tmpl w:val="A5890CB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6FC6FBD"/>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AB31024"/>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340</Words>
  <Characters>1939</Characters>
  <Lines>16</Lines>
  <Paragraphs>4</Paragraphs>
  <TotalTime>159</TotalTime>
  <ScaleCrop>false</ScaleCrop>
  <LinksUpToDate>false</LinksUpToDate>
  <CharactersWithSpaces>2275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2025-06-11T11:57:04Z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712011EB2F694123861FA8E8E2B60218_13</vt:lpwstr>
  </property>
</Properties>
</file>